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5843" w:type="dxa"/>
        <w:tblLayout w:type="fixed"/>
        <w:tblLook w:val="01E0" w:firstRow="1" w:lastRow="1" w:firstColumn="1" w:lastColumn="1" w:noHBand="0" w:noVBand="0"/>
      </w:tblPr>
      <w:tblGrid>
        <w:gridCol w:w="7905"/>
        <w:gridCol w:w="7938"/>
      </w:tblGrid>
      <w:tr w:rsidR="00270A51" w:rsidRPr="000957B4" w14:paraId="1F26B19D" w14:textId="77777777" w:rsidTr="00270A51">
        <w:trPr>
          <w:cantSplit/>
          <w:trHeight w:val="1079"/>
          <w:tblHeader/>
        </w:trPr>
        <w:tc>
          <w:tcPr>
            <w:tcW w:w="7905" w:type="dxa"/>
            <w:shd w:val="clear" w:color="auto" w:fill="auto"/>
            <w:vAlign w:val="bottom"/>
          </w:tcPr>
          <w:p w14:paraId="2116CF01" w14:textId="77777777" w:rsidR="00270A51" w:rsidRPr="000873BC" w:rsidRDefault="000A0941" w:rsidP="00270A51">
            <w:pPr>
              <w:pStyle w:val="Title"/>
              <w:rPr>
                <w:rStyle w:val="DocTitle"/>
              </w:rPr>
            </w:pPr>
            <w:r>
              <w:rPr>
                <w:rStyle w:val="DocTitle"/>
              </w:rPr>
              <w:t>Hospital in the Home (HITH)</w:t>
            </w:r>
          </w:p>
          <w:p w14:paraId="03101310" w14:textId="581BCDF5" w:rsidR="00270A51" w:rsidRPr="000873BC" w:rsidRDefault="00D04A96" w:rsidP="00270A51">
            <w:pPr>
              <w:pStyle w:val="Subtitle"/>
            </w:pPr>
            <w:r>
              <w:rPr>
                <w:rStyle w:val="DocSubTitle"/>
              </w:rPr>
              <w:t xml:space="preserve">Role of the </w:t>
            </w:r>
            <w:r w:rsidR="000A0941">
              <w:rPr>
                <w:rStyle w:val="DocSubTitle"/>
              </w:rPr>
              <w:t xml:space="preserve">Senior Medical Officer 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1AB7FB0C" w14:textId="77777777"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2A788BA2" w14:textId="77777777" w:rsidR="00993010" w:rsidRDefault="00993010" w:rsidP="00270A51">
      <w:pPr>
        <w:sectPr w:rsidR="00993010" w:rsidSect="00084F0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056069B8" w14:textId="678F1107" w:rsidR="000A0941" w:rsidRPr="00A67C39" w:rsidRDefault="00D04A96" w:rsidP="00B8047E">
      <w:pPr>
        <w:pStyle w:val="Heading1"/>
        <w:rPr>
          <w:rFonts w:eastAsiaTheme="minorHAnsi"/>
          <w:lang w:val="en-AU"/>
        </w:rPr>
      </w:pPr>
      <w:r>
        <w:rPr>
          <w:rFonts w:eastAsiaTheme="minorHAnsi"/>
          <w:lang w:val="en-AU"/>
        </w:rPr>
        <w:t>Hospital in the Home (</w:t>
      </w:r>
      <w:r w:rsidR="00605276" w:rsidRPr="00A67C39">
        <w:rPr>
          <w:rFonts w:eastAsiaTheme="minorHAnsi"/>
          <w:lang w:val="en-AU"/>
        </w:rPr>
        <w:t>HITH</w:t>
      </w:r>
      <w:r>
        <w:rPr>
          <w:rFonts w:eastAsiaTheme="minorHAnsi"/>
          <w:lang w:val="en-AU"/>
        </w:rPr>
        <w:t>)</w:t>
      </w:r>
      <w:r w:rsidR="000A0941" w:rsidRPr="00A67C39">
        <w:rPr>
          <w:rFonts w:eastAsiaTheme="minorHAnsi"/>
          <w:lang w:val="en-AU"/>
        </w:rPr>
        <w:t xml:space="preserve"> </w:t>
      </w:r>
      <w:r>
        <w:rPr>
          <w:rFonts w:eastAsiaTheme="minorHAnsi"/>
          <w:lang w:val="en-AU"/>
        </w:rPr>
        <w:t>overview</w:t>
      </w:r>
    </w:p>
    <w:p w14:paraId="504A65B4" w14:textId="77777777" w:rsidR="00BE3200" w:rsidRDefault="000A0941" w:rsidP="00BE3200">
      <w:pPr>
        <w:pStyle w:val="CommentText"/>
        <w:rPr>
          <w:rFonts w:eastAsiaTheme="minorHAnsi" w:cs="Arial"/>
          <w:color w:val="auto"/>
          <w:sz w:val="22"/>
          <w:szCs w:val="22"/>
          <w:lang w:val="en-AU"/>
        </w:rPr>
      </w:pPr>
      <w:r w:rsidRPr="00A67C39">
        <w:rPr>
          <w:rFonts w:eastAsiaTheme="minorHAnsi" w:cs="Arial"/>
          <w:color w:val="auto"/>
          <w:sz w:val="22"/>
          <w:szCs w:val="22"/>
          <w:lang w:val="en-AU"/>
        </w:rPr>
        <w:t xml:space="preserve">HITH is a specialised service that provides acute and subacute hospital equivalent care in a person’s residential environment. </w:t>
      </w:r>
    </w:p>
    <w:p w14:paraId="64C1EFA1" w14:textId="3B29A30E" w:rsidR="00BE3200" w:rsidRPr="00A67C39" w:rsidRDefault="00BE3200" w:rsidP="00BE3200">
      <w:pPr>
        <w:pStyle w:val="CommentText"/>
        <w:rPr>
          <w:sz w:val="22"/>
          <w:szCs w:val="22"/>
        </w:rPr>
      </w:pPr>
      <w:r w:rsidRPr="4EABBC15">
        <w:rPr>
          <w:sz w:val="22"/>
          <w:szCs w:val="22"/>
        </w:rPr>
        <w:t xml:space="preserve">HITH in Queensland is defined as providing care in a patient’s permanent or temporary residence for conditions requiring clinical governance, monitoring and/or input that would otherwise require treatment in </w:t>
      </w:r>
      <w:r w:rsidR="00BC511A">
        <w:rPr>
          <w:sz w:val="22"/>
          <w:szCs w:val="22"/>
        </w:rPr>
        <w:t>a</w:t>
      </w:r>
      <w:r w:rsidRPr="4EABBC15">
        <w:rPr>
          <w:sz w:val="22"/>
          <w:szCs w:val="22"/>
        </w:rPr>
        <w:t xml:space="preserve"> traditional hospital bed.  The HITH prog</w:t>
      </w:r>
      <w:r w:rsidR="00A67C39" w:rsidRPr="4EABBC15">
        <w:rPr>
          <w:sz w:val="22"/>
          <w:szCs w:val="22"/>
        </w:rPr>
        <w:t>ram</w:t>
      </w:r>
      <w:r w:rsidRPr="4EABBC15">
        <w:rPr>
          <w:sz w:val="22"/>
          <w:szCs w:val="22"/>
        </w:rPr>
        <w:t xml:space="preserve"> is focused exclusively on admitted inpatient care substitution with the admitting criteria governed by the </w:t>
      </w:r>
      <w:proofErr w:type="spellStart"/>
      <w:r w:rsidRPr="4EABBC15">
        <w:rPr>
          <w:sz w:val="22"/>
          <w:szCs w:val="22"/>
        </w:rPr>
        <w:t>authori</w:t>
      </w:r>
      <w:r w:rsidR="74F7207E" w:rsidRPr="4EABBC15">
        <w:rPr>
          <w:sz w:val="22"/>
          <w:szCs w:val="22"/>
        </w:rPr>
        <w:t>s</w:t>
      </w:r>
      <w:r w:rsidRPr="4EABBC15">
        <w:rPr>
          <w:sz w:val="22"/>
          <w:szCs w:val="22"/>
        </w:rPr>
        <w:t>ed</w:t>
      </w:r>
      <w:proofErr w:type="spellEnd"/>
      <w:r w:rsidRPr="4EABBC15">
        <w:rPr>
          <w:sz w:val="22"/>
          <w:szCs w:val="22"/>
        </w:rPr>
        <w:t xml:space="preserve"> officer</w:t>
      </w:r>
      <w:r w:rsidR="00BC511A">
        <w:rPr>
          <w:sz w:val="22"/>
          <w:szCs w:val="22"/>
        </w:rPr>
        <w:t>.</w:t>
      </w:r>
      <w:r w:rsidRPr="4EABBC15">
        <w:rPr>
          <w:sz w:val="22"/>
          <w:szCs w:val="22"/>
        </w:rPr>
        <w:t xml:space="preserve">  </w:t>
      </w:r>
    </w:p>
    <w:p w14:paraId="5EC4744F" w14:textId="5122382E" w:rsidR="000A0941" w:rsidRDefault="00E247CC" w:rsidP="4EABBC15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eastAsiaTheme="minorEastAsia" w:cs="Arial"/>
          <w:color w:val="auto"/>
          <w:lang w:val="en-AU"/>
        </w:rPr>
      </w:pPr>
      <w:r w:rsidRPr="00B8047E">
        <w:rPr>
          <w:rFonts w:eastAsiaTheme="minorEastAsia" w:cs="Arial"/>
          <w:color w:val="auto"/>
          <w:lang w:val="en-AU"/>
        </w:rPr>
        <w:t xml:space="preserve">The assessment of whether </w:t>
      </w:r>
      <w:r w:rsidR="00453F22" w:rsidRPr="00B8047E">
        <w:rPr>
          <w:rFonts w:eastAsiaTheme="minorEastAsia" w:cs="Arial"/>
          <w:color w:val="auto"/>
          <w:lang w:val="en-AU"/>
        </w:rPr>
        <w:t xml:space="preserve">substituted inpatient care </w:t>
      </w:r>
      <w:r w:rsidRPr="00B8047E">
        <w:rPr>
          <w:rFonts w:eastAsiaTheme="minorEastAsia" w:cs="Arial"/>
          <w:color w:val="auto"/>
          <w:lang w:val="en-AU"/>
        </w:rPr>
        <w:t>can be safely given and the provision of that care</w:t>
      </w:r>
      <w:r w:rsidR="00BC511A" w:rsidRPr="00B8047E">
        <w:rPr>
          <w:rFonts w:eastAsiaTheme="minorEastAsia" w:cs="Arial"/>
          <w:color w:val="auto"/>
          <w:lang w:val="en-AU"/>
        </w:rPr>
        <w:t>,</w:t>
      </w:r>
      <w:r w:rsidRPr="00B8047E">
        <w:rPr>
          <w:rFonts w:eastAsiaTheme="minorEastAsia" w:cs="Arial"/>
          <w:color w:val="auto"/>
          <w:lang w:val="en-AU"/>
        </w:rPr>
        <w:t xml:space="preserve"> </w:t>
      </w:r>
      <w:r w:rsidR="005F4576" w:rsidRPr="00B8047E">
        <w:rPr>
          <w:rFonts w:eastAsiaTheme="minorEastAsia" w:cs="Arial"/>
          <w:color w:val="auto"/>
          <w:lang w:val="en-AU"/>
        </w:rPr>
        <w:t>is the primary function of a HITH service</w:t>
      </w:r>
      <w:r w:rsidR="009C7014" w:rsidRPr="00B8047E">
        <w:rPr>
          <w:rFonts w:eastAsiaTheme="minorEastAsia" w:cs="Arial"/>
          <w:color w:val="auto"/>
          <w:lang w:val="en-AU"/>
        </w:rPr>
        <w:t>.</w:t>
      </w:r>
      <w:r w:rsidR="009C7014">
        <w:rPr>
          <w:rFonts w:eastAsiaTheme="minorEastAsia" w:cs="Arial"/>
          <w:color w:val="auto"/>
          <w:lang w:val="en-AU"/>
        </w:rPr>
        <w:t xml:space="preserve"> </w:t>
      </w:r>
      <w:r w:rsidR="005F4576">
        <w:rPr>
          <w:rFonts w:eastAsiaTheme="minorEastAsia" w:cs="Arial"/>
          <w:color w:val="auto"/>
          <w:lang w:val="en-AU"/>
        </w:rPr>
        <w:t xml:space="preserve"> </w:t>
      </w:r>
      <w:r w:rsidR="000A0941" w:rsidRPr="4EABBC15">
        <w:rPr>
          <w:rFonts w:eastAsiaTheme="minorEastAsia" w:cs="Arial"/>
          <w:color w:val="auto"/>
          <w:lang w:val="en-AU"/>
        </w:rPr>
        <w:t xml:space="preserve">HITH services with </w:t>
      </w:r>
      <w:r w:rsidR="00605276" w:rsidRPr="4EABBC15">
        <w:rPr>
          <w:rFonts w:eastAsiaTheme="minorEastAsia" w:cs="Arial"/>
          <w:color w:val="auto"/>
          <w:lang w:val="en-AU"/>
        </w:rPr>
        <w:t xml:space="preserve">a </w:t>
      </w:r>
      <w:r w:rsidR="000A0941" w:rsidRPr="4EABBC15">
        <w:rPr>
          <w:rFonts w:eastAsiaTheme="minorEastAsia" w:cs="Arial"/>
          <w:color w:val="auto"/>
          <w:lang w:val="en-AU"/>
        </w:rPr>
        <w:t xml:space="preserve">dedicated </w:t>
      </w:r>
      <w:r w:rsidR="00E219B5" w:rsidRPr="4EABBC15">
        <w:rPr>
          <w:rFonts w:eastAsiaTheme="minorEastAsia" w:cs="Arial"/>
          <w:color w:val="auto"/>
          <w:lang w:val="en-AU"/>
        </w:rPr>
        <w:t xml:space="preserve">generalist skilled </w:t>
      </w:r>
      <w:r w:rsidR="000A0941" w:rsidRPr="4EABBC15">
        <w:rPr>
          <w:rFonts w:eastAsiaTheme="minorEastAsia" w:cs="Arial"/>
          <w:color w:val="auto"/>
          <w:lang w:val="en-AU"/>
        </w:rPr>
        <w:t xml:space="preserve">HITH </w:t>
      </w:r>
      <w:r w:rsidR="00D04A96">
        <w:rPr>
          <w:rFonts w:eastAsiaTheme="minorEastAsia" w:cs="Arial"/>
          <w:color w:val="auto"/>
          <w:lang w:val="en-AU"/>
        </w:rPr>
        <w:t>Senior Medical Officer</w:t>
      </w:r>
      <w:r w:rsidR="002E7893">
        <w:rPr>
          <w:rFonts w:eastAsiaTheme="minorEastAsia" w:cs="Arial"/>
          <w:color w:val="auto"/>
          <w:lang w:val="en-AU"/>
        </w:rPr>
        <w:t xml:space="preserve"> </w:t>
      </w:r>
      <w:r w:rsidR="00D04A96">
        <w:rPr>
          <w:rFonts w:eastAsiaTheme="minorEastAsia" w:cs="Arial"/>
          <w:color w:val="auto"/>
          <w:lang w:val="en-AU"/>
        </w:rPr>
        <w:t>(</w:t>
      </w:r>
      <w:r w:rsidR="000A0941" w:rsidRPr="4EABBC15">
        <w:rPr>
          <w:rFonts w:eastAsiaTheme="minorEastAsia" w:cs="Arial"/>
          <w:color w:val="auto"/>
          <w:lang w:val="en-AU"/>
        </w:rPr>
        <w:t>SMO</w:t>
      </w:r>
      <w:r w:rsidR="00D04A96">
        <w:rPr>
          <w:rFonts w:eastAsiaTheme="minorEastAsia" w:cs="Arial"/>
          <w:color w:val="auto"/>
          <w:lang w:val="en-AU"/>
        </w:rPr>
        <w:t>)</w:t>
      </w:r>
      <w:r w:rsidR="000A0941" w:rsidRPr="4EABBC15">
        <w:rPr>
          <w:rFonts w:eastAsiaTheme="minorEastAsia" w:cs="Arial"/>
          <w:color w:val="auto"/>
          <w:lang w:val="en-AU"/>
        </w:rPr>
        <w:t xml:space="preserve"> as part of a multidisciplinary team, demonstrate improved</w:t>
      </w:r>
      <w:r w:rsidR="00E219B5" w:rsidRPr="4EABBC15">
        <w:rPr>
          <w:rFonts w:eastAsiaTheme="minorEastAsia" w:cs="Arial"/>
          <w:color w:val="auto"/>
          <w:lang w:val="en-AU"/>
        </w:rPr>
        <w:t xml:space="preserve"> clinical and </w:t>
      </w:r>
      <w:r w:rsidR="00E71D47" w:rsidRPr="4EABBC15">
        <w:rPr>
          <w:rFonts w:eastAsiaTheme="minorEastAsia" w:cs="Arial"/>
          <w:color w:val="auto"/>
          <w:lang w:val="en-AU"/>
        </w:rPr>
        <w:t>operational capacity</w:t>
      </w:r>
      <w:r w:rsidR="000A0941" w:rsidRPr="4EABBC15">
        <w:rPr>
          <w:rFonts w:eastAsiaTheme="minorEastAsia" w:cs="Arial"/>
          <w:color w:val="auto"/>
          <w:lang w:val="en-AU"/>
        </w:rPr>
        <w:t xml:space="preserve">, </w:t>
      </w:r>
      <w:r w:rsidR="004321C8" w:rsidRPr="4EABBC15">
        <w:rPr>
          <w:rFonts w:eastAsiaTheme="minorEastAsia" w:cs="Arial"/>
          <w:color w:val="auto"/>
          <w:lang w:val="en-AU"/>
        </w:rPr>
        <w:t>function,</w:t>
      </w:r>
      <w:r w:rsidR="000A0941" w:rsidRPr="4EABBC15">
        <w:rPr>
          <w:rFonts w:eastAsiaTheme="minorEastAsia" w:cs="Arial"/>
          <w:color w:val="auto"/>
          <w:lang w:val="en-AU"/>
        </w:rPr>
        <w:t xml:space="preserve"> and safety.</w:t>
      </w:r>
    </w:p>
    <w:p w14:paraId="02B23182" w14:textId="77777777" w:rsidR="00A67C39" w:rsidRDefault="00A67C39" w:rsidP="00605276">
      <w:pPr>
        <w:pStyle w:val="Heading2"/>
        <w:rPr>
          <w:rFonts w:eastAsiaTheme="minorHAnsi"/>
          <w:lang w:val="en-AU"/>
        </w:rPr>
      </w:pPr>
    </w:p>
    <w:p w14:paraId="31AEEAF1" w14:textId="2B6E7B32" w:rsidR="00605276" w:rsidRDefault="00605276" w:rsidP="00B8047E">
      <w:pPr>
        <w:pStyle w:val="Heading1"/>
        <w:rPr>
          <w:rFonts w:eastAsiaTheme="minorHAnsi"/>
          <w:lang w:val="en-AU"/>
        </w:rPr>
      </w:pPr>
      <w:r>
        <w:rPr>
          <w:rFonts w:eastAsiaTheme="minorHAnsi"/>
          <w:lang w:val="en-AU"/>
        </w:rPr>
        <w:t>H</w:t>
      </w:r>
      <w:r w:rsidR="00D04A96">
        <w:rPr>
          <w:rFonts w:eastAsiaTheme="minorHAnsi"/>
          <w:lang w:val="en-AU"/>
        </w:rPr>
        <w:t>ospital in the Home Senior Medical Officer Role</w:t>
      </w:r>
    </w:p>
    <w:p w14:paraId="6AE235FB" w14:textId="2236A22B" w:rsidR="00D04A96" w:rsidRDefault="00D04A96" w:rsidP="00B8047E">
      <w:pPr>
        <w:pStyle w:val="Heading2"/>
        <w:rPr>
          <w:rFonts w:eastAsiaTheme="minorHAnsi"/>
          <w:lang w:val="en-AU"/>
        </w:rPr>
      </w:pPr>
      <w:r>
        <w:rPr>
          <w:rFonts w:eastAsiaTheme="minorHAnsi"/>
          <w:lang w:val="en-AU"/>
        </w:rPr>
        <w:t xml:space="preserve">General description </w:t>
      </w:r>
    </w:p>
    <w:p w14:paraId="1E77FD23" w14:textId="2C3FBE98" w:rsidR="000A0941" w:rsidRDefault="00605276" w:rsidP="000A0941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color w:val="auto"/>
          <w:szCs w:val="22"/>
          <w:lang w:val="en-AU"/>
        </w:rPr>
      </w:pPr>
      <w:r>
        <w:rPr>
          <w:rFonts w:eastAsiaTheme="minorHAnsi" w:cs="Arial"/>
          <w:color w:val="auto"/>
          <w:szCs w:val="22"/>
          <w:lang w:val="en-AU"/>
        </w:rPr>
        <w:t>This role</w:t>
      </w:r>
      <w:r w:rsidR="000A0941" w:rsidRPr="000A0941">
        <w:rPr>
          <w:rFonts w:eastAsiaTheme="minorHAnsi" w:cs="Arial"/>
          <w:color w:val="auto"/>
          <w:szCs w:val="22"/>
          <w:lang w:val="en-AU"/>
        </w:rPr>
        <w:t xml:space="preserve"> provides strong governance, patient advocacy and engagement with the health system both tertiary and primary</w:t>
      </w:r>
      <w:r w:rsidR="000A0941">
        <w:rPr>
          <w:rFonts w:eastAsiaTheme="minorHAnsi" w:cs="Arial"/>
          <w:color w:val="auto"/>
          <w:szCs w:val="22"/>
          <w:lang w:val="en-AU"/>
        </w:rPr>
        <w:t>,</w:t>
      </w:r>
      <w:r w:rsidR="000A0941" w:rsidRPr="000A0941">
        <w:rPr>
          <w:rFonts w:eastAsiaTheme="minorHAnsi" w:cs="Arial"/>
          <w:color w:val="auto"/>
          <w:szCs w:val="22"/>
          <w:lang w:val="en-AU"/>
        </w:rPr>
        <w:t xml:space="preserve"> through multiple domains of responsibility </w:t>
      </w:r>
      <w:r w:rsidR="000A0941">
        <w:rPr>
          <w:rFonts w:eastAsiaTheme="minorHAnsi" w:cs="Arial"/>
          <w:color w:val="auto"/>
          <w:szCs w:val="22"/>
          <w:lang w:val="en-AU"/>
        </w:rPr>
        <w:t xml:space="preserve">including, </w:t>
      </w:r>
      <w:r w:rsidR="000A0941" w:rsidRPr="00886642">
        <w:rPr>
          <w:rFonts w:eastAsiaTheme="minorHAnsi" w:cs="Arial"/>
          <w:color w:val="auto"/>
          <w:szCs w:val="22"/>
          <w:lang w:val="en-AU"/>
        </w:rPr>
        <w:t>but not limited to:</w:t>
      </w:r>
      <w:r w:rsidR="000A0941" w:rsidRPr="000A0941">
        <w:rPr>
          <w:rFonts w:eastAsiaTheme="minorHAnsi" w:cs="Arial"/>
          <w:color w:val="auto"/>
          <w:szCs w:val="22"/>
          <w:lang w:val="en-AU"/>
        </w:rPr>
        <w:t xml:space="preserve"> clinical care, </w:t>
      </w:r>
      <w:r w:rsidR="000A0941" w:rsidRPr="00886642">
        <w:rPr>
          <w:rFonts w:eastAsiaTheme="minorHAnsi" w:cs="Arial"/>
          <w:color w:val="auto"/>
          <w:szCs w:val="22"/>
          <w:lang w:val="en-AU"/>
        </w:rPr>
        <w:t xml:space="preserve">patient selection, team coordination, communication and engagement, </w:t>
      </w:r>
      <w:r w:rsidR="00886642" w:rsidRPr="00886642">
        <w:rPr>
          <w:rFonts w:eastAsiaTheme="minorHAnsi" w:cs="Arial"/>
          <w:color w:val="auto"/>
          <w:szCs w:val="22"/>
          <w:lang w:val="en-AU"/>
        </w:rPr>
        <w:t>identifying and admitting</w:t>
      </w:r>
      <w:r w:rsidRPr="00886642">
        <w:rPr>
          <w:rFonts w:eastAsiaTheme="minorHAnsi" w:cs="Arial"/>
          <w:color w:val="auto"/>
          <w:szCs w:val="22"/>
          <w:lang w:val="en-AU"/>
        </w:rPr>
        <w:t xml:space="preserve"> </w:t>
      </w:r>
      <w:r w:rsidR="000A0941" w:rsidRPr="00886642">
        <w:rPr>
          <w:rFonts w:eastAsiaTheme="minorHAnsi" w:cs="Arial"/>
          <w:color w:val="auto"/>
          <w:szCs w:val="22"/>
          <w:lang w:val="en-AU"/>
        </w:rPr>
        <w:t xml:space="preserve">patients, education, and advocacy for patients and </w:t>
      </w:r>
      <w:r w:rsidR="00154853">
        <w:rPr>
          <w:rFonts w:eastAsiaTheme="minorHAnsi" w:cs="Arial"/>
          <w:color w:val="auto"/>
          <w:szCs w:val="22"/>
          <w:lang w:val="en-AU"/>
        </w:rPr>
        <w:t xml:space="preserve">the </w:t>
      </w:r>
      <w:r w:rsidR="000A0941" w:rsidRPr="00886642">
        <w:rPr>
          <w:rFonts w:eastAsiaTheme="minorHAnsi" w:cs="Arial"/>
          <w:color w:val="auto"/>
          <w:szCs w:val="22"/>
          <w:lang w:val="en-AU"/>
        </w:rPr>
        <w:t>service.</w:t>
      </w:r>
      <w:r w:rsidR="000A0941" w:rsidRPr="000A0941">
        <w:rPr>
          <w:rFonts w:eastAsiaTheme="minorHAnsi" w:cs="Arial"/>
          <w:color w:val="auto"/>
          <w:szCs w:val="22"/>
          <w:lang w:val="en-AU"/>
        </w:rPr>
        <w:t xml:space="preserve"> </w:t>
      </w:r>
    </w:p>
    <w:p w14:paraId="4254FDAF" w14:textId="77777777" w:rsidR="00A67C39" w:rsidRDefault="00A67C39" w:rsidP="001A705D">
      <w:pPr>
        <w:pStyle w:val="Heading2"/>
        <w:rPr>
          <w:rFonts w:eastAsiaTheme="minorHAnsi"/>
          <w:lang w:val="en-AU"/>
        </w:rPr>
      </w:pPr>
    </w:p>
    <w:p w14:paraId="260D093A" w14:textId="4DB61148" w:rsidR="001A705D" w:rsidRPr="000A0941" w:rsidRDefault="001A705D" w:rsidP="001A705D">
      <w:pPr>
        <w:pStyle w:val="Heading2"/>
        <w:rPr>
          <w:rFonts w:eastAsiaTheme="minorHAnsi"/>
          <w:lang w:val="en-AU"/>
        </w:rPr>
      </w:pPr>
      <w:r>
        <w:rPr>
          <w:rFonts w:eastAsiaTheme="minorHAnsi"/>
          <w:lang w:val="en-AU"/>
        </w:rPr>
        <w:t xml:space="preserve">Scope of </w:t>
      </w:r>
      <w:r w:rsidR="002E7893">
        <w:rPr>
          <w:rFonts w:eastAsiaTheme="minorHAnsi"/>
          <w:lang w:val="en-AU"/>
        </w:rPr>
        <w:t>c</w:t>
      </w:r>
      <w:r>
        <w:rPr>
          <w:rFonts w:eastAsiaTheme="minorHAnsi"/>
          <w:lang w:val="en-AU"/>
        </w:rPr>
        <w:t xml:space="preserve">linical </w:t>
      </w:r>
      <w:r w:rsidR="002E7893">
        <w:rPr>
          <w:rFonts w:eastAsiaTheme="minorHAnsi"/>
          <w:lang w:val="en-AU"/>
        </w:rPr>
        <w:t>p</w:t>
      </w:r>
      <w:r>
        <w:rPr>
          <w:rFonts w:eastAsiaTheme="minorHAnsi"/>
          <w:lang w:val="en-AU"/>
        </w:rPr>
        <w:t xml:space="preserve">ractice  </w:t>
      </w:r>
    </w:p>
    <w:p w14:paraId="2FFF74B1" w14:textId="751C5937" w:rsidR="00103BC8" w:rsidRPr="007C7F3E" w:rsidRDefault="001A705D" w:rsidP="00A67C39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color w:val="auto"/>
          <w:szCs w:val="22"/>
          <w:lang w:val="en-AU"/>
        </w:rPr>
      </w:pPr>
      <w:r w:rsidRPr="007C7F3E">
        <w:rPr>
          <w:rFonts w:eastAsiaTheme="minorHAnsi" w:cs="Arial"/>
          <w:color w:val="auto"/>
          <w:szCs w:val="22"/>
          <w:lang w:val="en-AU"/>
        </w:rPr>
        <w:t xml:space="preserve">The scope of </w:t>
      </w:r>
      <w:r w:rsidR="00103BC8" w:rsidRPr="007C7F3E">
        <w:rPr>
          <w:rFonts w:eastAsiaTheme="minorHAnsi" w:cs="Arial"/>
          <w:color w:val="auto"/>
          <w:szCs w:val="22"/>
          <w:lang w:val="en-AU"/>
        </w:rPr>
        <w:t>c</w:t>
      </w:r>
      <w:r w:rsidRPr="007C7F3E">
        <w:rPr>
          <w:rFonts w:eastAsiaTheme="minorHAnsi" w:cs="Arial"/>
          <w:color w:val="auto"/>
          <w:szCs w:val="22"/>
          <w:lang w:val="en-AU"/>
        </w:rPr>
        <w:t xml:space="preserve">linical practice </w:t>
      </w:r>
      <w:r w:rsidR="00154853" w:rsidRPr="007C7F3E">
        <w:rPr>
          <w:rFonts w:eastAsiaTheme="minorHAnsi" w:cs="Arial"/>
          <w:color w:val="auto"/>
          <w:szCs w:val="22"/>
          <w:lang w:val="en-AU"/>
        </w:rPr>
        <w:t>includes but</w:t>
      </w:r>
      <w:r w:rsidRPr="00237710">
        <w:rPr>
          <w:rFonts w:eastAsiaTheme="minorHAnsi" w:cs="Arial"/>
          <w:color w:val="auto"/>
          <w:szCs w:val="22"/>
          <w:lang w:val="en-AU"/>
        </w:rPr>
        <w:t xml:space="preserve"> is not limited </w:t>
      </w:r>
      <w:r w:rsidR="00E71D47" w:rsidRPr="00237710">
        <w:rPr>
          <w:rFonts w:eastAsiaTheme="minorHAnsi" w:cs="Arial"/>
          <w:color w:val="auto"/>
          <w:szCs w:val="22"/>
          <w:lang w:val="en-AU"/>
        </w:rPr>
        <w:t>to</w:t>
      </w:r>
      <w:r w:rsidR="00103BC8" w:rsidRPr="00237710">
        <w:rPr>
          <w:rFonts w:eastAsiaTheme="minorHAnsi" w:cs="Arial"/>
          <w:color w:val="auto"/>
          <w:szCs w:val="22"/>
          <w:lang w:val="en-AU"/>
        </w:rPr>
        <w:t>, p</w:t>
      </w:r>
      <w:r w:rsidR="00103BC8" w:rsidRPr="007C7F3E">
        <w:rPr>
          <w:rFonts w:eastAsiaTheme="minorHAnsi" w:cs="Arial"/>
          <w:color w:val="auto"/>
          <w:szCs w:val="22"/>
          <w:lang w:val="en-AU"/>
        </w:rPr>
        <w:t>roviding generalised inpatient</w:t>
      </w:r>
      <w:r w:rsidR="00BE3200">
        <w:rPr>
          <w:rFonts w:eastAsiaTheme="minorHAnsi" w:cs="Arial"/>
          <w:color w:val="auto"/>
          <w:szCs w:val="22"/>
          <w:lang w:val="en-AU"/>
        </w:rPr>
        <w:t xml:space="preserve"> comparable c</w:t>
      </w:r>
      <w:r w:rsidR="00103BC8" w:rsidRPr="007C7F3E">
        <w:rPr>
          <w:rFonts w:eastAsiaTheme="minorHAnsi" w:cs="Arial"/>
          <w:color w:val="auto"/>
          <w:szCs w:val="22"/>
          <w:lang w:val="en-AU"/>
        </w:rPr>
        <w:t>are in a HITH environment, including providing primary, tertiary, outpatient, inpatient and virtual care.</w:t>
      </w:r>
    </w:p>
    <w:p w14:paraId="2DAFBD07" w14:textId="77777777" w:rsidR="00A67C39" w:rsidRDefault="00A67C39" w:rsidP="000A0941">
      <w:pPr>
        <w:pStyle w:val="Heading2"/>
        <w:rPr>
          <w:rFonts w:eastAsiaTheme="minorHAnsi"/>
          <w:lang w:val="en-AU"/>
        </w:rPr>
      </w:pPr>
    </w:p>
    <w:p w14:paraId="7C36FC88" w14:textId="40FE224F" w:rsidR="000A0941" w:rsidRPr="000A0941" w:rsidRDefault="000A0941" w:rsidP="000A0941">
      <w:pPr>
        <w:pStyle w:val="Heading2"/>
        <w:rPr>
          <w:rFonts w:eastAsiaTheme="minorHAnsi"/>
          <w:lang w:val="en-AU"/>
        </w:rPr>
      </w:pPr>
      <w:r>
        <w:rPr>
          <w:rFonts w:eastAsiaTheme="minorHAnsi"/>
          <w:lang w:val="en-AU"/>
        </w:rPr>
        <w:t xml:space="preserve">Key responsibilities </w:t>
      </w:r>
    </w:p>
    <w:p w14:paraId="2F7D765A" w14:textId="4218AC4A" w:rsidR="00614698" w:rsidRDefault="000A0941" w:rsidP="00614698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color w:val="auto"/>
          <w:szCs w:val="22"/>
          <w:lang w:val="en-AU"/>
        </w:rPr>
      </w:pPr>
      <w:r w:rsidRPr="000A0941">
        <w:rPr>
          <w:rFonts w:eastAsiaTheme="minorHAnsi" w:cs="Arial"/>
          <w:color w:val="auto"/>
          <w:szCs w:val="22"/>
          <w:lang w:val="en-AU"/>
        </w:rPr>
        <w:t xml:space="preserve">The primary responsibility of the HITH SMO is to provide safe </w:t>
      </w:r>
      <w:r w:rsidR="002E7893">
        <w:rPr>
          <w:rFonts w:eastAsiaTheme="minorHAnsi" w:cs="Arial"/>
          <w:color w:val="auto"/>
          <w:szCs w:val="22"/>
          <w:lang w:val="en-AU"/>
        </w:rPr>
        <w:t>h</w:t>
      </w:r>
      <w:r w:rsidR="00154853">
        <w:rPr>
          <w:rFonts w:eastAsiaTheme="minorHAnsi" w:cs="Arial"/>
          <w:color w:val="auto"/>
          <w:szCs w:val="22"/>
          <w:lang w:val="en-AU"/>
        </w:rPr>
        <w:t xml:space="preserve">igh </w:t>
      </w:r>
      <w:r w:rsidR="002E7893">
        <w:rPr>
          <w:rFonts w:eastAsiaTheme="minorHAnsi" w:cs="Arial"/>
          <w:color w:val="auto"/>
          <w:szCs w:val="22"/>
          <w:lang w:val="en-AU"/>
        </w:rPr>
        <w:t>v</w:t>
      </w:r>
      <w:r w:rsidR="00154853">
        <w:rPr>
          <w:rFonts w:eastAsiaTheme="minorHAnsi" w:cs="Arial"/>
          <w:color w:val="auto"/>
          <w:szCs w:val="22"/>
          <w:lang w:val="en-AU"/>
        </w:rPr>
        <w:t xml:space="preserve">alue </w:t>
      </w:r>
      <w:r w:rsidRPr="000A0941">
        <w:rPr>
          <w:rFonts w:eastAsiaTheme="minorHAnsi" w:cs="Arial"/>
          <w:color w:val="auto"/>
          <w:szCs w:val="22"/>
          <w:lang w:val="en-AU"/>
        </w:rPr>
        <w:t>patient care</w:t>
      </w:r>
      <w:r w:rsidR="00605276">
        <w:rPr>
          <w:rFonts w:eastAsiaTheme="minorHAnsi" w:cs="Arial"/>
          <w:color w:val="auto"/>
          <w:szCs w:val="22"/>
          <w:lang w:val="en-AU"/>
        </w:rPr>
        <w:t xml:space="preserve">, with other key responsibilities </w:t>
      </w:r>
      <w:r w:rsidR="00103BC8">
        <w:rPr>
          <w:rFonts w:eastAsiaTheme="minorHAnsi" w:cs="Arial"/>
          <w:color w:val="auto"/>
          <w:szCs w:val="22"/>
          <w:lang w:val="en-AU"/>
        </w:rPr>
        <w:t>outlined</w:t>
      </w:r>
      <w:r w:rsidR="002F282F">
        <w:rPr>
          <w:rFonts w:eastAsiaTheme="minorHAnsi" w:cs="Arial"/>
          <w:color w:val="auto"/>
          <w:szCs w:val="22"/>
          <w:lang w:val="en-AU"/>
        </w:rPr>
        <w:t xml:space="preserve"> below</w:t>
      </w:r>
      <w:r w:rsidR="00AE54F6">
        <w:rPr>
          <w:rFonts w:eastAsiaTheme="minorHAnsi" w:cs="Arial"/>
          <w:color w:val="auto"/>
          <w:szCs w:val="22"/>
          <w:lang w:val="en-AU"/>
        </w:rPr>
        <w:t>.</w:t>
      </w:r>
      <w:r>
        <w:rPr>
          <w:rFonts w:eastAsiaTheme="minorHAnsi" w:cs="Arial"/>
          <w:color w:val="auto"/>
          <w:szCs w:val="22"/>
          <w:lang w:val="en-AU"/>
        </w:rPr>
        <w:t xml:space="preserve"> </w:t>
      </w:r>
    </w:p>
    <w:p w14:paraId="00D9DE10" w14:textId="77777777" w:rsidR="00AE54F6" w:rsidRDefault="00AE54F6" w:rsidP="00614698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rFonts w:eastAsiaTheme="minorHAnsi" w:cs="Arial"/>
          <w:color w:val="auto"/>
          <w:szCs w:val="22"/>
          <w:lang w:val="en-AU"/>
        </w:rPr>
      </w:pPr>
    </w:p>
    <w:p w14:paraId="0BAEE4C5" w14:textId="77777777" w:rsidR="000A0941" w:rsidRPr="000A0941" w:rsidRDefault="000A0941" w:rsidP="000A0941">
      <w:pPr>
        <w:pStyle w:val="Heading3"/>
        <w:rPr>
          <w:rFonts w:eastAsiaTheme="minorHAnsi"/>
        </w:rPr>
      </w:pPr>
      <w:r w:rsidRPr="000A0941">
        <w:rPr>
          <w:rFonts w:eastAsiaTheme="minorHAnsi"/>
        </w:rPr>
        <w:t>Clinical care</w:t>
      </w:r>
    </w:p>
    <w:p w14:paraId="2A125D0B" w14:textId="569726CC" w:rsidR="00FF5C27" w:rsidRDefault="00C033A1" w:rsidP="4EABBC15">
      <w:pPr>
        <w:pStyle w:val="ListBullet"/>
        <w:rPr>
          <w:rFonts w:eastAsiaTheme="minorEastAsia"/>
        </w:rPr>
      </w:pPr>
      <w:r w:rsidRPr="4EABBC15">
        <w:rPr>
          <w:rFonts w:eastAsiaTheme="minorEastAsia"/>
        </w:rPr>
        <w:t xml:space="preserve">Review and assess patients being considered for HITH </w:t>
      </w:r>
      <w:r w:rsidR="00D354B3">
        <w:rPr>
          <w:rFonts w:eastAsiaTheme="minorEastAsia"/>
        </w:rPr>
        <w:t>wh</w:t>
      </w:r>
      <w:r w:rsidR="00501448">
        <w:rPr>
          <w:rFonts w:eastAsiaTheme="minorEastAsia"/>
        </w:rPr>
        <w:t xml:space="preserve">atever </w:t>
      </w:r>
      <w:r w:rsidR="00AE54F6">
        <w:rPr>
          <w:rFonts w:eastAsiaTheme="minorEastAsia"/>
        </w:rPr>
        <w:t>their</w:t>
      </w:r>
      <w:r w:rsidR="00501448">
        <w:rPr>
          <w:rFonts w:eastAsiaTheme="minorEastAsia"/>
        </w:rPr>
        <w:t xml:space="preserve"> admission </w:t>
      </w:r>
      <w:r w:rsidR="00907F4E">
        <w:rPr>
          <w:rFonts w:eastAsiaTheme="minorEastAsia"/>
        </w:rPr>
        <w:t>source (</w:t>
      </w:r>
      <w:r w:rsidR="00501448">
        <w:rPr>
          <w:rFonts w:eastAsiaTheme="minorEastAsia"/>
        </w:rPr>
        <w:t xml:space="preserve">community, emergency, outpatients or in hospital) </w:t>
      </w:r>
      <w:r w:rsidRPr="4EABBC15">
        <w:rPr>
          <w:rFonts w:eastAsiaTheme="minorEastAsia"/>
        </w:rPr>
        <w:t xml:space="preserve">to determine if </w:t>
      </w:r>
      <w:r w:rsidR="00D04A96">
        <w:rPr>
          <w:rFonts w:eastAsiaTheme="minorEastAsia"/>
        </w:rPr>
        <w:t>h</w:t>
      </w:r>
      <w:r w:rsidRPr="4EABBC15">
        <w:rPr>
          <w:rFonts w:eastAsiaTheme="minorEastAsia"/>
        </w:rPr>
        <w:t xml:space="preserve">igh </w:t>
      </w:r>
      <w:r w:rsidR="00D04A96">
        <w:rPr>
          <w:rFonts w:eastAsiaTheme="minorEastAsia"/>
        </w:rPr>
        <w:t>v</w:t>
      </w:r>
      <w:r w:rsidR="001F6FDE">
        <w:rPr>
          <w:rFonts w:eastAsiaTheme="minorEastAsia"/>
        </w:rPr>
        <w:t xml:space="preserve">alue </w:t>
      </w:r>
      <w:r w:rsidRPr="4EABBC15">
        <w:rPr>
          <w:rFonts w:eastAsiaTheme="minorEastAsia"/>
        </w:rPr>
        <w:t>care can be safely provided in their residential environment</w:t>
      </w:r>
    </w:p>
    <w:p w14:paraId="0EC3FDE2" w14:textId="1E2FFD84" w:rsidR="0039465B" w:rsidRDefault="0039465B" w:rsidP="4EABBC15">
      <w:pPr>
        <w:pStyle w:val="ListBullet"/>
        <w:rPr>
          <w:rFonts w:eastAsiaTheme="minorEastAsia"/>
        </w:rPr>
      </w:pPr>
      <w:r>
        <w:rPr>
          <w:rFonts w:eastAsiaTheme="minorEastAsia"/>
        </w:rPr>
        <w:t xml:space="preserve">Delegate </w:t>
      </w:r>
      <w:r w:rsidR="00D875BE">
        <w:rPr>
          <w:rFonts w:eastAsiaTheme="minorEastAsia"/>
        </w:rPr>
        <w:t>appropriate assessment</w:t>
      </w:r>
      <w:r>
        <w:rPr>
          <w:rFonts w:eastAsiaTheme="minorEastAsia"/>
        </w:rPr>
        <w:t xml:space="preserve"> </w:t>
      </w:r>
      <w:r w:rsidR="00CB3651">
        <w:rPr>
          <w:rFonts w:eastAsiaTheme="minorEastAsia"/>
        </w:rPr>
        <w:t>of the</w:t>
      </w:r>
      <w:r w:rsidR="006346F7">
        <w:rPr>
          <w:rFonts w:eastAsiaTheme="minorEastAsia"/>
        </w:rPr>
        <w:t xml:space="preserve"> patient by </w:t>
      </w:r>
      <w:r w:rsidR="00B96EAB">
        <w:rPr>
          <w:rFonts w:eastAsiaTheme="minorEastAsia"/>
        </w:rPr>
        <w:t xml:space="preserve">nursing </w:t>
      </w:r>
      <w:r w:rsidR="00206B9D">
        <w:rPr>
          <w:rFonts w:eastAsiaTheme="minorEastAsia"/>
        </w:rPr>
        <w:t>and other members of the multidisciplinary team</w:t>
      </w:r>
      <w:r w:rsidR="00B96EAB">
        <w:rPr>
          <w:rFonts w:eastAsiaTheme="minorEastAsia"/>
        </w:rPr>
        <w:t xml:space="preserve"> </w:t>
      </w:r>
    </w:p>
    <w:p w14:paraId="4F8B15A9" w14:textId="2B5D46C6" w:rsidR="00C033A1" w:rsidRDefault="00FF5C27" w:rsidP="4EABBC15">
      <w:pPr>
        <w:pStyle w:val="ListBullet"/>
        <w:rPr>
          <w:rFonts w:eastAsiaTheme="minorEastAsia"/>
        </w:rPr>
      </w:pPr>
      <w:r>
        <w:rPr>
          <w:rFonts w:eastAsiaTheme="minorEastAsia"/>
        </w:rPr>
        <w:t>C</w:t>
      </w:r>
      <w:r w:rsidR="006F76F9" w:rsidRPr="4EABBC15">
        <w:rPr>
          <w:rFonts w:eastAsiaTheme="minorEastAsia"/>
        </w:rPr>
        <w:t xml:space="preserve">ommunicate patient suitability </w:t>
      </w:r>
      <w:r w:rsidR="00A4462B" w:rsidRPr="4EABBC15">
        <w:rPr>
          <w:rFonts w:eastAsiaTheme="minorEastAsia"/>
        </w:rPr>
        <w:t xml:space="preserve">in a timely manner </w:t>
      </w:r>
      <w:r w:rsidR="00886642" w:rsidRPr="4EABBC15">
        <w:rPr>
          <w:rFonts w:eastAsiaTheme="minorEastAsia"/>
        </w:rPr>
        <w:t xml:space="preserve">to </w:t>
      </w:r>
      <w:r w:rsidR="00C033A1" w:rsidRPr="4EABBC15">
        <w:rPr>
          <w:rFonts w:eastAsiaTheme="minorEastAsia"/>
        </w:rPr>
        <w:t>health practitioners</w:t>
      </w:r>
      <w:r w:rsidR="223310F2" w:rsidRPr="4EABBC15">
        <w:rPr>
          <w:rFonts w:eastAsiaTheme="minorEastAsia"/>
        </w:rPr>
        <w:t xml:space="preserve">, other key stakeholders caring for the patient, </w:t>
      </w:r>
      <w:r w:rsidR="00A4462B" w:rsidRPr="4EABBC15">
        <w:rPr>
          <w:rFonts w:eastAsiaTheme="minorEastAsia"/>
        </w:rPr>
        <w:t xml:space="preserve">and </w:t>
      </w:r>
      <w:r w:rsidR="5A715FBF" w:rsidRPr="4EABBC15">
        <w:rPr>
          <w:rFonts w:eastAsiaTheme="minorEastAsia"/>
        </w:rPr>
        <w:t xml:space="preserve">the </w:t>
      </w:r>
      <w:r w:rsidR="00A4462B" w:rsidRPr="4EABBC15">
        <w:rPr>
          <w:rFonts w:eastAsiaTheme="minorEastAsia"/>
        </w:rPr>
        <w:t>patients or their carer</w:t>
      </w:r>
      <w:r w:rsidR="00A30557" w:rsidRPr="4EABBC15">
        <w:rPr>
          <w:rFonts w:eastAsiaTheme="minorEastAsia"/>
        </w:rPr>
        <w:t xml:space="preserve">s </w:t>
      </w:r>
    </w:p>
    <w:p w14:paraId="325AB8BB" w14:textId="3E0DFFC6" w:rsidR="122F6408" w:rsidRDefault="122F6408" w:rsidP="4EABBC15">
      <w:pPr>
        <w:pStyle w:val="ListBullet"/>
      </w:pPr>
      <w:r w:rsidRPr="4EABBC15">
        <w:rPr>
          <w:rFonts w:eastAsiaTheme="minorEastAsia"/>
          <w:szCs w:val="22"/>
        </w:rPr>
        <w:lastRenderedPageBreak/>
        <w:t xml:space="preserve">Work closely with the HITH multidisciplinary team in daily service operations </w:t>
      </w:r>
    </w:p>
    <w:p w14:paraId="6D57188C" w14:textId="24E1F712" w:rsidR="001917D7" w:rsidRDefault="00773C5A" w:rsidP="00C033A1">
      <w:pPr>
        <w:pStyle w:val="ListBullet"/>
        <w:rPr>
          <w:rFonts w:eastAsiaTheme="minorHAnsi"/>
        </w:rPr>
      </w:pPr>
      <w:r>
        <w:rPr>
          <w:rFonts w:eastAsiaTheme="minorHAnsi"/>
        </w:rPr>
        <w:t xml:space="preserve">Deliver a </w:t>
      </w:r>
      <w:r w:rsidR="00606543">
        <w:rPr>
          <w:rFonts w:eastAsiaTheme="minorHAnsi"/>
        </w:rPr>
        <w:t>7 day per week service that allows</w:t>
      </w:r>
      <w:r w:rsidR="00103BC8">
        <w:rPr>
          <w:rFonts w:eastAsiaTheme="minorHAnsi"/>
        </w:rPr>
        <w:t xml:space="preserve"> </w:t>
      </w:r>
      <w:r w:rsidR="00A3073F">
        <w:rPr>
          <w:rFonts w:eastAsiaTheme="minorHAnsi"/>
        </w:rPr>
        <w:t xml:space="preserve">all health care professionals including </w:t>
      </w:r>
      <w:r w:rsidR="00103BC8">
        <w:rPr>
          <w:rFonts w:eastAsiaTheme="minorHAnsi"/>
        </w:rPr>
        <w:t>General Practitioners (</w:t>
      </w:r>
      <w:r w:rsidR="00606543">
        <w:rPr>
          <w:rFonts w:eastAsiaTheme="minorHAnsi"/>
        </w:rPr>
        <w:t>G</w:t>
      </w:r>
      <w:r w:rsidR="000216FE">
        <w:rPr>
          <w:rFonts w:eastAsiaTheme="minorHAnsi"/>
        </w:rPr>
        <w:t>P</w:t>
      </w:r>
      <w:r w:rsidR="00606543">
        <w:rPr>
          <w:rFonts w:eastAsiaTheme="minorHAnsi"/>
        </w:rPr>
        <w:t>s</w:t>
      </w:r>
      <w:r w:rsidR="00103BC8">
        <w:rPr>
          <w:rFonts w:eastAsiaTheme="minorHAnsi"/>
        </w:rPr>
        <w:t>)</w:t>
      </w:r>
      <w:r w:rsidR="00606543">
        <w:rPr>
          <w:rFonts w:eastAsiaTheme="minorHAnsi"/>
        </w:rPr>
        <w:t xml:space="preserve"> ti</w:t>
      </w:r>
      <w:r w:rsidR="000216FE">
        <w:rPr>
          <w:rFonts w:eastAsiaTheme="minorHAnsi"/>
        </w:rPr>
        <w:t xml:space="preserve">mely access </w:t>
      </w:r>
      <w:r w:rsidR="00E403F3">
        <w:rPr>
          <w:rFonts w:eastAsiaTheme="minorHAnsi"/>
        </w:rPr>
        <w:t xml:space="preserve">to direct HITH </w:t>
      </w:r>
      <w:r w:rsidR="00045D0B">
        <w:rPr>
          <w:rFonts w:eastAsiaTheme="minorHAnsi"/>
        </w:rPr>
        <w:t>SMO clinical advice and referral pathways</w:t>
      </w:r>
    </w:p>
    <w:p w14:paraId="2E009A57" w14:textId="62E6C62A" w:rsidR="00CD03F8" w:rsidRPr="00CD03F8" w:rsidRDefault="00CD03F8" w:rsidP="00CD03F8">
      <w:pPr>
        <w:pStyle w:val="ListBullet"/>
        <w:rPr>
          <w:rFonts w:eastAsiaTheme="minorHAnsi"/>
        </w:rPr>
      </w:pPr>
      <w:r w:rsidRPr="00CD03F8">
        <w:rPr>
          <w:rFonts w:eastAsiaTheme="minorHAnsi"/>
        </w:rPr>
        <w:t>Actively select patients who would benefit from HITH by reviewing inpatients and emergency presentation</w:t>
      </w:r>
      <w:r w:rsidR="00645E96">
        <w:rPr>
          <w:rFonts w:eastAsiaTheme="minorHAnsi"/>
        </w:rPr>
        <w:t>s</w:t>
      </w:r>
    </w:p>
    <w:p w14:paraId="6E797AEF" w14:textId="4D7EB090" w:rsidR="000A0941" w:rsidRPr="00886642" w:rsidRDefault="000A0941" w:rsidP="4EABBC15">
      <w:pPr>
        <w:pStyle w:val="ListBullet"/>
        <w:rPr>
          <w:rFonts w:eastAsiaTheme="minorEastAsia"/>
        </w:rPr>
      </w:pPr>
      <w:r w:rsidRPr="4EABBC15">
        <w:rPr>
          <w:rFonts w:eastAsiaTheme="minorEastAsia"/>
        </w:rPr>
        <w:t xml:space="preserve">Provide </w:t>
      </w:r>
      <w:r w:rsidR="00232998">
        <w:rPr>
          <w:rFonts w:eastAsiaTheme="minorEastAsia"/>
        </w:rPr>
        <w:t>h</w:t>
      </w:r>
      <w:r w:rsidRPr="4EABBC15">
        <w:rPr>
          <w:rFonts w:eastAsiaTheme="minorEastAsia"/>
        </w:rPr>
        <w:t xml:space="preserve">igh </w:t>
      </w:r>
      <w:r w:rsidR="00232998">
        <w:rPr>
          <w:rFonts w:eastAsiaTheme="minorEastAsia"/>
        </w:rPr>
        <w:t>v</w:t>
      </w:r>
      <w:r w:rsidRPr="4EABBC15">
        <w:rPr>
          <w:rFonts w:eastAsiaTheme="minorEastAsia"/>
        </w:rPr>
        <w:t>alue clinical care to patients in the HITH program</w:t>
      </w:r>
    </w:p>
    <w:p w14:paraId="456E1C22" w14:textId="349CD62E" w:rsidR="00C033A1" w:rsidRPr="00886642" w:rsidRDefault="00C033A1" w:rsidP="00C033A1">
      <w:pPr>
        <w:pStyle w:val="ListBullet"/>
        <w:rPr>
          <w:rFonts w:eastAsiaTheme="minorHAnsi"/>
        </w:rPr>
      </w:pPr>
      <w:r w:rsidRPr="00886642">
        <w:rPr>
          <w:rFonts w:eastAsiaTheme="minorHAnsi"/>
        </w:rPr>
        <w:t xml:space="preserve">Provide hospital comparable care with </w:t>
      </w:r>
      <w:r w:rsidR="00907F4E">
        <w:rPr>
          <w:rFonts w:eastAsiaTheme="minorHAnsi"/>
        </w:rPr>
        <w:t>governance and oversight of the patient daily</w:t>
      </w:r>
      <w:r w:rsidR="00020E09">
        <w:rPr>
          <w:rFonts w:eastAsiaTheme="minorHAnsi"/>
        </w:rPr>
        <w:t>, including</w:t>
      </w:r>
      <w:r w:rsidR="00907F4E" w:rsidRPr="00886642">
        <w:rPr>
          <w:rFonts w:eastAsiaTheme="minorHAnsi"/>
        </w:rPr>
        <w:t xml:space="preserve"> </w:t>
      </w:r>
      <w:r w:rsidRPr="00886642">
        <w:rPr>
          <w:rFonts w:eastAsiaTheme="minorHAnsi"/>
        </w:rPr>
        <w:t>daily ward rounding</w:t>
      </w:r>
      <w:r w:rsidR="00907F4E">
        <w:rPr>
          <w:rFonts w:eastAsiaTheme="minorHAnsi"/>
        </w:rPr>
        <w:t xml:space="preserve">, </w:t>
      </w:r>
      <w:r w:rsidRPr="00886642">
        <w:rPr>
          <w:rFonts w:eastAsiaTheme="minorHAnsi"/>
        </w:rPr>
        <w:t>clinical review and appropriate therapy and investigations</w:t>
      </w:r>
      <w:r w:rsidR="00B63B4B">
        <w:rPr>
          <w:rFonts w:eastAsiaTheme="minorHAnsi"/>
        </w:rPr>
        <w:t xml:space="preserve"> (t</w:t>
      </w:r>
      <w:r w:rsidR="00020E09">
        <w:rPr>
          <w:rFonts w:eastAsiaTheme="minorHAnsi"/>
        </w:rPr>
        <w:t>his does not necessarily require a daily physical review by the doctor</w:t>
      </w:r>
      <w:r w:rsidR="00B63B4B">
        <w:rPr>
          <w:rFonts w:eastAsiaTheme="minorHAnsi"/>
        </w:rPr>
        <w:t>)</w:t>
      </w:r>
    </w:p>
    <w:p w14:paraId="4BA26AC0" w14:textId="4364B200" w:rsidR="006F76F9" w:rsidRPr="000A0941" w:rsidRDefault="006F76F9" w:rsidP="006F76F9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t>Maintain patients</w:t>
      </w:r>
      <w:r w:rsidR="00A26780">
        <w:rPr>
          <w:rFonts w:eastAsiaTheme="minorHAnsi"/>
        </w:rPr>
        <w:t>’</w:t>
      </w:r>
      <w:r w:rsidRPr="000A0941">
        <w:rPr>
          <w:rFonts w:eastAsiaTheme="minorHAnsi"/>
        </w:rPr>
        <w:t xml:space="preserve"> safety while in </w:t>
      </w:r>
      <w:r>
        <w:rPr>
          <w:rFonts w:eastAsiaTheme="minorHAnsi"/>
        </w:rPr>
        <w:t>HITH</w:t>
      </w:r>
      <w:r w:rsidRPr="000A0941">
        <w:rPr>
          <w:rFonts w:eastAsiaTheme="minorHAnsi"/>
        </w:rPr>
        <w:t xml:space="preserve"> </w:t>
      </w:r>
      <w:r>
        <w:rPr>
          <w:rFonts w:eastAsiaTheme="minorHAnsi"/>
        </w:rPr>
        <w:t>b</w:t>
      </w:r>
      <w:r w:rsidRPr="000A0941">
        <w:rPr>
          <w:rFonts w:eastAsiaTheme="minorHAnsi"/>
        </w:rPr>
        <w:t xml:space="preserve">y daily clinical </w:t>
      </w:r>
      <w:r w:rsidR="002F282F" w:rsidRPr="000A0941">
        <w:rPr>
          <w:rFonts w:eastAsiaTheme="minorHAnsi"/>
        </w:rPr>
        <w:t>intervention</w:t>
      </w:r>
      <w:r w:rsidR="002F282F">
        <w:rPr>
          <w:rFonts w:eastAsiaTheme="minorHAnsi"/>
        </w:rPr>
        <w:t>, review</w:t>
      </w:r>
      <w:r w:rsidR="00045D0B">
        <w:rPr>
          <w:rFonts w:eastAsiaTheme="minorHAnsi"/>
        </w:rPr>
        <w:t xml:space="preserve">, </w:t>
      </w:r>
      <w:r w:rsidR="00BD43C9" w:rsidRPr="000A0941">
        <w:rPr>
          <w:rFonts w:eastAsiaTheme="minorHAnsi"/>
        </w:rPr>
        <w:t>management,</w:t>
      </w:r>
      <w:r w:rsidRPr="000A0941">
        <w:rPr>
          <w:rFonts w:eastAsiaTheme="minorHAnsi"/>
        </w:rPr>
        <w:t xml:space="preserve"> and leadership of a multidisciplinary team</w:t>
      </w:r>
    </w:p>
    <w:p w14:paraId="66713F16" w14:textId="438C742A" w:rsidR="0081388D" w:rsidRPr="00B8047E" w:rsidRDefault="008A6785" w:rsidP="0081388D">
      <w:pPr>
        <w:pStyle w:val="ListBullet"/>
        <w:rPr>
          <w:rFonts w:eastAsiaTheme="minorHAnsi"/>
        </w:rPr>
      </w:pPr>
      <w:r>
        <w:rPr>
          <w:rFonts w:eastAsiaTheme="minorHAnsi"/>
        </w:rPr>
        <w:t>F</w:t>
      </w:r>
      <w:r w:rsidR="0081388D" w:rsidRPr="00B8047E">
        <w:rPr>
          <w:rFonts w:eastAsiaTheme="minorHAnsi"/>
        </w:rPr>
        <w:t xml:space="preserve">ormal admission and transfer of care and governance to the HITH service with appropriate assessment of the patient, a documented clinical management plan and specific demonstratable transfer of governance to the HITH SMO </w:t>
      </w:r>
    </w:p>
    <w:p w14:paraId="2C3A2130" w14:textId="1D34AEA6" w:rsidR="00C033A1" w:rsidRDefault="008A6785" w:rsidP="00C033A1">
      <w:pPr>
        <w:pStyle w:val="ListBullet"/>
        <w:rPr>
          <w:rFonts w:eastAsiaTheme="minorHAnsi"/>
        </w:rPr>
      </w:pPr>
      <w:r>
        <w:rPr>
          <w:rFonts w:eastAsiaTheme="minorHAnsi"/>
        </w:rPr>
        <w:t xml:space="preserve">Ensure </w:t>
      </w:r>
      <w:r w:rsidR="001B7BA0" w:rsidRPr="002F282F">
        <w:rPr>
          <w:rFonts w:eastAsiaTheme="minorHAnsi"/>
        </w:rPr>
        <w:t>timely</w:t>
      </w:r>
      <w:r w:rsidR="00C033A1" w:rsidRPr="002F282F">
        <w:rPr>
          <w:rFonts w:eastAsiaTheme="minorHAnsi"/>
        </w:rPr>
        <w:t xml:space="preserve"> </w:t>
      </w:r>
      <w:r w:rsidR="00152F75" w:rsidRPr="002F282F">
        <w:rPr>
          <w:rFonts w:eastAsiaTheme="minorHAnsi"/>
        </w:rPr>
        <w:t>24</w:t>
      </w:r>
      <w:r w:rsidR="00103BC8">
        <w:rPr>
          <w:rFonts w:eastAsiaTheme="minorHAnsi"/>
        </w:rPr>
        <w:t xml:space="preserve">-hour </w:t>
      </w:r>
      <w:r w:rsidR="00152F75" w:rsidRPr="002F282F">
        <w:rPr>
          <w:rFonts w:eastAsiaTheme="minorHAnsi"/>
        </w:rPr>
        <w:t xml:space="preserve">/7 </w:t>
      </w:r>
      <w:r w:rsidR="00103BC8">
        <w:rPr>
          <w:rFonts w:eastAsiaTheme="minorHAnsi"/>
        </w:rPr>
        <w:t xml:space="preserve">day per week </w:t>
      </w:r>
      <w:r w:rsidR="00C033A1" w:rsidRPr="002F282F">
        <w:rPr>
          <w:rFonts w:eastAsiaTheme="minorHAnsi"/>
        </w:rPr>
        <w:t>identification of deterioration</w:t>
      </w:r>
      <w:r w:rsidR="00980CFD" w:rsidRPr="002F282F">
        <w:rPr>
          <w:rFonts w:eastAsiaTheme="minorHAnsi"/>
        </w:rPr>
        <w:t xml:space="preserve"> or the need for escalation</w:t>
      </w:r>
      <w:r w:rsidR="00D777DB">
        <w:rPr>
          <w:rFonts w:eastAsiaTheme="minorHAnsi"/>
        </w:rPr>
        <w:t xml:space="preserve"> of the patient </w:t>
      </w:r>
      <w:r w:rsidR="004D49BA">
        <w:rPr>
          <w:rFonts w:eastAsiaTheme="minorHAnsi"/>
        </w:rPr>
        <w:t>b</w:t>
      </w:r>
      <w:r w:rsidR="002D7944">
        <w:rPr>
          <w:rFonts w:eastAsiaTheme="minorHAnsi"/>
        </w:rPr>
        <w:t xml:space="preserve">y strong direct clinical </w:t>
      </w:r>
      <w:r w:rsidR="00FF0BFF">
        <w:rPr>
          <w:rFonts w:eastAsiaTheme="minorHAnsi"/>
        </w:rPr>
        <w:t xml:space="preserve">governance </w:t>
      </w:r>
      <w:r w:rsidR="004D49BA">
        <w:rPr>
          <w:rFonts w:eastAsiaTheme="minorHAnsi"/>
        </w:rPr>
        <w:t xml:space="preserve">and appropriate procedures and pathways </w:t>
      </w:r>
    </w:p>
    <w:p w14:paraId="27472FD7" w14:textId="3A8A7E6B" w:rsidR="005E34D6" w:rsidRPr="004A39D7" w:rsidRDefault="001B7BA0" w:rsidP="004A39D7">
      <w:pPr>
        <w:pStyle w:val="ListBullet"/>
        <w:rPr>
          <w:rFonts w:eastAsiaTheme="minorHAnsi"/>
          <w:szCs w:val="22"/>
        </w:rPr>
      </w:pPr>
      <w:r>
        <w:rPr>
          <w:rFonts w:eastAsia="Calibri" w:cs="Arial"/>
          <w:szCs w:val="22"/>
        </w:rPr>
        <w:t xml:space="preserve">Deliver </w:t>
      </w:r>
      <w:r w:rsidRPr="00FF0BFF">
        <w:rPr>
          <w:rFonts w:eastAsia="Calibri" w:cs="Arial"/>
          <w:szCs w:val="22"/>
        </w:rPr>
        <w:t>specialist</w:t>
      </w:r>
      <w:r w:rsidR="00FF0BFF" w:rsidRPr="00FF0BFF">
        <w:rPr>
          <w:rFonts w:eastAsia="Calibri" w:cs="Arial"/>
          <w:szCs w:val="22"/>
        </w:rPr>
        <w:t xml:space="preserve"> </w:t>
      </w:r>
      <w:r w:rsidR="00FF0BFF" w:rsidRPr="00FF0BFF">
        <w:rPr>
          <w:rFonts w:eastAsia="Calibri"/>
          <w:szCs w:val="22"/>
        </w:rPr>
        <w:t>HITH</w:t>
      </w:r>
      <w:r w:rsidR="00FF0BFF" w:rsidRPr="00FF0BFF">
        <w:rPr>
          <w:rFonts w:eastAsia="Calibri" w:cs="Arial"/>
          <w:szCs w:val="22"/>
        </w:rPr>
        <w:t xml:space="preserve"> expertise and advice for patients of surgical</w:t>
      </w:r>
      <w:r w:rsidR="00884631">
        <w:rPr>
          <w:rFonts w:eastAsia="Calibri" w:cs="Arial"/>
          <w:szCs w:val="22"/>
        </w:rPr>
        <w:t>,</w:t>
      </w:r>
      <w:r w:rsidR="00FF0BFF" w:rsidRPr="00FF0BFF">
        <w:rPr>
          <w:rFonts w:eastAsia="Calibri" w:cs="Arial"/>
          <w:szCs w:val="22"/>
        </w:rPr>
        <w:t xml:space="preserve"> </w:t>
      </w:r>
      <w:proofErr w:type="gramStart"/>
      <w:r w:rsidR="00FF0BFF" w:rsidRPr="00FF0BFF">
        <w:rPr>
          <w:rFonts w:eastAsia="Calibri" w:cs="Arial"/>
          <w:szCs w:val="22"/>
        </w:rPr>
        <w:t>medical</w:t>
      </w:r>
      <w:proofErr w:type="gramEnd"/>
      <w:r w:rsidR="00FF0BFF" w:rsidRPr="00FF0BFF">
        <w:rPr>
          <w:rFonts w:eastAsia="Calibri" w:cs="Arial"/>
          <w:szCs w:val="22"/>
        </w:rPr>
        <w:t xml:space="preserve"> </w:t>
      </w:r>
      <w:r w:rsidR="00E64CEE">
        <w:rPr>
          <w:rFonts w:eastAsia="Calibri" w:cs="Arial"/>
          <w:szCs w:val="22"/>
        </w:rPr>
        <w:t xml:space="preserve">and other specialty </w:t>
      </w:r>
      <w:r w:rsidR="00FF0BFF" w:rsidRPr="00FF0BFF">
        <w:rPr>
          <w:rFonts w:eastAsia="Calibri" w:cs="Arial"/>
          <w:szCs w:val="22"/>
        </w:rPr>
        <w:t>departments, in conjunction with relevant surgical/medical specialists and the broader interdisciplinary team</w:t>
      </w:r>
    </w:p>
    <w:p w14:paraId="4D35A2AB" w14:textId="77777777" w:rsidR="000A0941" w:rsidRPr="00886642" w:rsidRDefault="001D505F" w:rsidP="00557170">
      <w:pPr>
        <w:pStyle w:val="ListBullet"/>
        <w:rPr>
          <w:rFonts w:eastAsiaTheme="minorHAnsi"/>
        </w:rPr>
      </w:pPr>
      <w:r w:rsidRPr="00886642">
        <w:rPr>
          <w:rFonts w:eastAsiaTheme="minorHAnsi"/>
        </w:rPr>
        <w:t>S</w:t>
      </w:r>
      <w:r w:rsidR="000A0941" w:rsidRPr="00886642">
        <w:rPr>
          <w:rFonts w:eastAsiaTheme="minorHAnsi"/>
        </w:rPr>
        <w:t>afely and timely transfer the care of patients to appropriate ongoing and maintenance care which may include</w:t>
      </w:r>
      <w:r w:rsidR="00310F40" w:rsidRPr="00886642">
        <w:rPr>
          <w:rFonts w:eastAsiaTheme="minorHAnsi"/>
        </w:rPr>
        <w:t>,</w:t>
      </w:r>
      <w:r w:rsidR="000A0941" w:rsidRPr="00886642">
        <w:rPr>
          <w:rFonts w:eastAsiaTheme="minorHAnsi"/>
        </w:rPr>
        <w:t xml:space="preserve"> but is not limited to</w:t>
      </w:r>
      <w:r w:rsidR="00310F40" w:rsidRPr="00886642">
        <w:rPr>
          <w:rFonts w:eastAsiaTheme="minorHAnsi"/>
        </w:rPr>
        <w:t>,</w:t>
      </w:r>
      <w:r w:rsidR="000A0941" w:rsidRPr="00886642">
        <w:rPr>
          <w:rFonts w:eastAsiaTheme="minorHAnsi"/>
        </w:rPr>
        <w:t xml:space="preserve"> their primary GP, </w:t>
      </w:r>
      <w:r w:rsidR="00310F40" w:rsidRPr="00886642">
        <w:rPr>
          <w:rFonts w:eastAsiaTheme="minorHAnsi"/>
        </w:rPr>
        <w:t>post-acute</w:t>
      </w:r>
      <w:r w:rsidR="000A0941" w:rsidRPr="00886642">
        <w:rPr>
          <w:rFonts w:eastAsiaTheme="minorHAnsi"/>
        </w:rPr>
        <w:t xml:space="preserve"> funding progra</w:t>
      </w:r>
      <w:r w:rsidR="00310F40" w:rsidRPr="00886642">
        <w:rPr>
          <w:rFonts w:eastAsiaTheme="minorHAnsi"/>
        </w:rPr>
        <w:t>ms</w:t>
      </w:r>
      <w:r w:rsidR="000A0941" w:rsidRPr="00886642">
        <w:rPr>
          <w:rFonts w:eastAsiaTheme="minorHAnsi"/>
        </w:rPr>
        <w:t>, outpatient care or tertiary care</w:t>
      </w:r>
    </w:p>
    <w:p w14:paraId="1DAE5277" w14:textId="57A6E3CD" w:rsidR="00C033A1" w:rsidRPr="00886642" w:rsidRDefault="00C033A1" w:rsidP="00C033A1">
      <w:pPr>
        <w:pStyle w:val="ListBullet"/>
        <w:rPr>
          <w:rFonts w:eastAsiaTheme="minorHAnsi"/>
        </w:rPr>
      </w:pPr>
      <w:r w:rsidRPr="00886642">
        <w:rPr>
          <w:rFonts w:eastAsiaTheme="minorHAnsi"/>
        </w:rPr>
        <w:t>Formally discharge and transfer patient</w:t>
      </w:r>
      <w:r w:rsidR="00103BC8">
        <w:rPr>
          <w:rFonts w:eastAsiaTheme="minorHAnsi"/>
        </w:rPr>
        <w:t>’</w:t>
      </w:r>
      <w:r w:rsidRPr="00886642">
        <w:rPr>
          <w:rFonts w:eastAsiaTheme="minorHAnsi"/>
        </w:rPr>
        <w:t>s care at cessation of the HITH episode of care to appropriate healthcare providers, through timely and effective communication</w:t>
      </w:r>
      <w:r w:rsidR="00713E74">
        <w:rPr>
          <w:rFonts w:eastAsiaTheme="minorHAnsi"/>
        </w:rPr>
        <w:t xml:space="preserve"> consistent with best clinical hand</w:t>
      </w:r>
      <w:r w:rsidR="00103BC8">
        <w:rPr>
          <w:rFonts w:eastAsiaTheme="minorHAnsi"/>
        </w:rPr>
        <w:t>over</w:t>
      </w:r>
      <w:r w:rsidR="00713E74">
        <w:rPr>
          <w:rFonts w:eastAsiaTheme="minorHAnsi"/>
        </w:rPr>
        <w:t xml:space="preserve"> process</w:t>
      </w:r>
    </w:p>
    <w:p w14:paraId="439E58A0" w14:textId="573ADF96" w:rsidR="00C033A1" w:rsidRPr="00886642" w:rsidRDefault="00C033A1" w:rsidP="00C033A1">
      <w:pPr>
        <w:pStyle w:val="ListBullet"/>
        <w:rPr>
          <w:rFonts w:eastAsiaTheme="minorHAnsi"/>
        </w:rPr>
      </w:pPr>
      <w:r w:rsidRPr="00886642">
        <w:rPr>
          <w:rFonts w:eastAsiaTheme="minorHAnsi"/>
        </w:rPr>
        <w:t xml:space="preserve">Coordinate patient care with other health care providers, including specialised review and advice as appropriate for safe </w:t>
      </w:r>
      <w:r w:rsidR="00A26780">
        <w:rPr>
          <w:rFonts w:eastAsiaTheme="minorHAnsi"/>
        </w:rPr>
        <w:t>h</w:t>
      </w:r>
      <w:r w:rsidR="00BE3200">
        <w:rPr>
          <w:rFonts w:eastAsiaTheme="minorHAnsi"/>
        </w:rPr>
        <w:t xml:space="preserve">igh </w:t>
      </w:r>
      <w:r w:rsidR="00A26780">
        <w:rPr>
          <w:rFonts w:eastAsiaTheme="minorHAnsi"/>
        </w:rPr>
        <w:t>v</w:t>
      </w:r>
      <w:r w:rsidR="00BE3200">
        <w:rPr>
          <w:rFonts w:eastAsiaTheme="minorHAnsi"/>
        </w:rPr>
        <w:t xml:space="preserve">alue </w:t>
      </w:r>
      <w:r w:rsidRPr="00886642">
        <w:rPr>
          <w:rFonts w:eastAsiaTheme="minorHAnsi"/>
        </w:rPr>
        <w:t xml:space="preserve">quality </w:t>
      </w:r>
      <w:r w:rsidR="0094683D">
        <w:rPr>
          <w:rFonts w:eastAsiaTheme="minorHAnsi"/>
        </w:rPr>
        <w:t>patient</w:t>
      </w:r>
      <w:r w:rsidR="00A26780">
        <w:rPr>
          <w:rFonts w:eastAsiaTheme="minorHAnsi"/>
        </w:rPr>
        <w:t>-</w:t>
      </w:r>
      <w:r w:rsidR="0094683D">
        <w:rPr>
          <w:rFonts w:eastAsiaTheme="minorHAnsi"/>
        </w:rPr>
        <w:t xml:space="preserve">centric </w:t>
      </w:r>
      <w:r w:rsidRPr="00886642">
        <w:rPr>
          <w:rFonts w:eastAsiaTheme="minorHAnsi"/>
        </w:rPr>
        <w:t xml:space="preserve">care </w:t>
      </w:r>
    </w:p>
    <w:p w14:paraId="2CBAD136" w14:textId="3E042D8B" w:rsidR="00C033A1" w:rsidRPr="00886642" w:rsidRDefault="00C033A1" w:rsidP="00C033A1">
      <w:pPr>
        <w:pStyle w:val="ListBullet"/>
        <w:rPr>
          <w:rFonts w:eastAsiaTheme="minorHAnsi"/>
        </w:rPr>
      </w:pPr>
      <w:r w:rsidRPr="00886642">
        <w:rPr>
          <w:rFonts w:eastAsiaTheme="minorHAnsi"/>
        </w:rPr>
        <w:t xml:space="preserve">Communicate </w:t>
      </w:r>
      <w:r w:rsidR="00292379">
        <w:rPr>
          <w:rFonts w:eastAsiaTheme="minorHAnsi"/>
        </w:rPr>
        <w:t xml:space="preserve">in a timely manner </w:t>
      </w:r>
      <w:r w:rsidRPr="00886642">
        <w:rPr>
          <w:rFonts w:eastAsiaTheme="minorHAnsi"/>
        </w:rPr>
        <w:t>with referring practitioners the progression and outcomes of HITH referrals</w:t>
      </w:r>
    </w:p>
    <w:p w14:paraId="15F8CB5A" w14:textId="77777777" w:rsidR="000A0941" w:rsidRPr="00CD03F8" w:rsidRDefault="00310F40" w:rsidP="00557170">
      <w:pPr>
        <w:pStyle w:val="ListBullet"/>
        <w:rPr>
          <w:rFonts w:eastAsiaTheme="minorHAnsi"/>
        </w:rPr>
      </w:pPr>
      <w:r w:rsidRPr="00CD03F8">
        <w:rPr>
          <w:rFonts w:eastAsiaTheme="minorHAnsi"/>
        </w:rPr>
        <w:t>P</w:t>
      </w:r>
      <w:r w:rsidR="000A0941" w:rsidRPr="00CD03F8">
        <w:rPr>
          <w:rFonts w:eastAsiaTheme="minorHAnsi"/>
        </w:rPr>
        <w:t xml:space="preserve">rovide and oversee all aspects of </w:t>
      </w:r>
      <w:r w:rsidRPr="00CD03F8">
        <w:rPr>
          <w:rFonts w:eastAsiaTheme="minorHAnsi"/>
        </w:rPr>
        <w:t xml:space="preserve">patient </w:t>
      </w:r>
      <w:r w:rsidR="000A0941" w:rsidRPr="00CD03F8">
        <w:rPr>
          <w:rFonts w:eastAsiaTheme="minorHAnsi"/>
        </w:rPr>
        <w:t>clinical care</w:t>
      </w:r>
      <w:r w:rsidRPr="00CD03F8">
        <w:rPr>
          <w:rFonts w:eastAsiaTheme="minorHAnsi"/>
        </w:rPr>
        <w:t xml:space="preserve">, </w:t>
      </w:r>
      <w:r w:rsidR="000A0941" w:rsidRPr="00CD03F8">
        <w:rPr>
          <w:rFonts w:eastAsiaTheme="minorHAnsi"/>
        </w:rPr>
        <w:t xml:space="preserve">which may </w:t>
      </w:r>
      <w:r w:rsidR="004855B8" w:rsidRPr="00CD03F8">
        <w:rPr>
          <w:rFonts w:eastAsiaTheme="minorHAnsi"/>
        </w:rPr>
        <w:t>include</w:t>
      </w:r>
      <w:r w:rsidR="000A0941" w:rsidRPr="00CD03F8">
        <w:rPr>
          <w:rFonts w:eastAsiaTheme="minorHAnsi"/>
        </w:rPr>
        <w:t xml:space="preserve"> inpatient consultations, inpatient reviews, outpatient consultations,</w:t>
      </w:r>
      <w:r w:rsidRPr="00CD03F8">
        <w:rPr>
          <w:rFonts w:eastAsiaTheme="minorHAnsi"/>
        </w:rPr>
        <w:t xml:space="preserve"> </w:t>
      </w:r>
      <w:r w:rsidR="000A0941" w:rsidRPr="00CD03F8">
        <w:rPr>
          <w:rFonts w:eastAsiaTheme="minorHAnsi"/>
        </w:rPr>
        <w:t xml:space="preserve">daily </w:t>
      </w:r>
      <w:proofErr w:type="gramStart"/>
      <w:r w:rsidR="000A0941" w:rsidRPr="00CD03F8">
        <w:rPr>
          <w:rFonts w:eastAsiaTheme="minorHAnsi"/>
        </w:rPr>
        <w:t>reviews</w:t>
      </w:r>
      <w:proofErr w:type="gramEnd"/>
      <w:r w:rsidR="000A0941" w:rsidRPr="00CD03F8">
        <w:rPr>
          <w:rFonts w:eastAsiaTheme="minorHAnsi"/>
        </w:rPr>
        <w:t xml:space="preserve"> and home reviews </w:t>
      </w:r>
    </w:p>
    <w:p w14:paraId="049E0128" w14:textId="5E09772B" w:rsidR="000A0941" w:rsidRDefault="00310F40" w:rsidP="00557170">
      <w:pPr>
        <w:pStyle w:val="ListBullet"/>
        <w:rPr>
          <w:rFonts w:eastAsiaTheme="minorHAnsi"/>
        </w:rPr>
      </w:pPr>
      <w:r>
        <w:rPr>
          <w:rFonts w:eastAsiaTheme="minorHAnsi"/>
        </w:rPr>
        <w:t>M</w:t>
      </w:r>
      <w:r w:rsidR="000A0941" w:rsidRPr="000A0941">
        <w:rPr>
          <w:rFonts w:eastAsiaTheme="minorHAnsi"/>
        </w:rPr>
        <w:t xml:space="preserve">aintain </w:t>
      </w:r>
      <w:r w:rsidR="004855B8" w:rsidRPr="000A0941">
        <w:rPr>
          <w:rFonts w:eastAsiaTheme="minorHAnsi"/>
        </w:rPr>
        <w:t>24-hour</w:t>
      </w:r>
      <w:r w:rsidR="000A0941" w:rsidRPr="000A0941">
        <w:rPr>
          <w:rFonts w:eastAsiaTheme="minorHAnsi"/>
        </w:rPr>
        <w:t xml:space="preserve"> clinical governance with </w:t>
      </w:r>
      <w:r w:rsidR="004855B8" w:rsidRPr="000A0941">
        <w:rPr>
          <w:rFonts w:eastAsiaTheme="minorHAnsi"/>
        </w:rPr>
        <w:t>24-hour</w:t>
      </w:r>
      <w:r w:rsidR="000A0941" w:rsidRPr="000A0941">
        <w:rPr>
          <w:rFonts w:eastAsiaTheme="minorHAnsi"/>
        </w:rPr>
        <w:t xml:space="preserve"> medical support for patients on HITH</w:t>
      </w:r>
      <w:r>
        <w:rPr>
          <w:rFonts w:eastAsiaTheme="minorHAnsi"/>
        </w:rPr>
        <w:t>,</w:t>
      </w:r>
      <w:r w:rsidR="000A0941" w:rsidRPr="000A0941">
        <w:rPr>
          <w:rFonts w:eastAsiaTheme="minorHAnsi"/>
        </w:rPr>
        <w:t xml:space="preserve"> including being on call for advice</w:t>
      </w:r>
      <w:r>
        <w:rPr>
          <w:rFonts w:eastAsiaTheme="minorHAnsi"/>
        </w:rPr>
        <w:t>,</w:t>
      </w:r>
      <w:r w:rsidR="000A0941" w:rsidRPr="000A0941">
        <w:rPr>
          <w:rFonts w:eastAsiaTheme="minorHAnsi"/>
        </w:rPr>
        <w:t xml:space="preserve"> </w:t>
      </w:r>
      <w:r w:rsidR="00BE3200" w:rsidRPr="000A0941">
        <w:rPr>
          <w:rFonts w:eastAsiaTheme="minorHAnsi"/>
        </w:rPr>
        <w:t>consultation,</w:t>
      </w:r>
      <w:r w:rsidR="000A0941" w:rsidRPr="000A0941">
        <w:rPr>
          <w:rFonts w:eastAsiaTheme="minorHAnsi"/>
        </w:rPr>
        <w:t xml:space="preserve"> and escalations </w:t>
      </w:r>
    </w:p>
    <w:p w14:paraId="27CAA0C5" w14:textId="474BE12D" w:rsidR="004A39D7" w:rsidRDefault="004A39D7" w:rsidP="004A39D7">
      <w:pPr>
        <w:pStyle w:val="ListBullet"/>
      </w:pPr>
      <w:r>
        <w:t>Actively engage in ongoing professional development to improve the clinical ca</w:t>
      </w:r>
      <w:r w:rsidR="00A26780">
        <w:t>pability</w:t>
      </w:r>
      <w:r>
        <w:t xml:space="preserve"> of the HITH </w:t>
      </w:r>
      <w:r w:rsidR="00895B1A">
        <w:t xml:space="preserve">service </w:t>
      </w:r>
      <w:r>
        <w:t xml:space="preserve">to care for a broader cohort of patients in terms of </w:t>
      </w:r>
      <w:r w:rsidR="00C0228D">
        <w:t xml:space="preserve">Diagnosis Related </w:t>
      </w:r>
      <w:r w:rsidR="00C0228D" w:rsidRPr="00C0228D">
        <w:t>Groups (</w:t>
      </w:r>
      <w:r w:rsidRPr="00C0228D">
        <w:t>DRGs</w:t>
      </w:r>
      <w:r w:rsidR="00C0228D" w:rsidRPr="00C0228D">
        <w:t>)</w:t>
      </w:r>
      <w:r>
        <w:t xml:space="preserve"> and complexity</w:t>
      </w:r>
      <w:r w:rsidR="00AE54F6">
        <w:t>.</w:t>
      </w:r>
    </w:p>
    <w:p w14:paraId="5B1F79AC" w14:textId="77777777" w:rsidR="00A67C39" w:rsidRDefault="00A67C39" w:rsidP="00A67C39">
      <w:pPr>
        <w:pStyle w:val="ListBullet"/>
        <w:numPr>
          <w:ilvl w:val="0"/>
          <w:numId w:val="0"/>
        </w:numPr>
        <w:ind w:left="284"/>
      </w:pPr>
    </w:p>
    <w:p w14:paraId="18EC7820" w14:textId="7963055A" w:rsidR="000A0941" w:rsidRDefault="000A0941" w:rsidP="000A0941">
      <w:pPr>
        <w:pStyle w:val="Heading3"/>
        <w:rPr>
          <w:rFonts w:eastAsiaTheme="minorHAnsi"/>
        </w:rPr>
      </w:pPr>
      <w:r w:rsidRPr="000A0941">
        <w:rPr>
          <w:rFonts w:eastAsiaTheme="minorHAnsi"/>
        </w:rPr>
        <w:t>Clinical governance</w:t>
      </w:r>
    </w:p>
    <w:p w14:paraId="42C92E2E" w14:textId="747CE943" w:rsidR="000A0941" w:rsidRPr="000A0941" w:rsidRDefault="00AE54F6" w:rsidP="00557170">
      <w:pPr>
        <w:pStyle w:val="ListBullet"/>
        <w:rPr>
          <w:rFonts w:eastAsiaTheme="minorHAnsi"/>
        </w:rPr>
      </w:pPr>
      <w:r>
        <w:rPr>
          <w:rFonts w:eastAsiaTheme="minorHAnsi"/>
        </w:rPr>
        <w:t>Provide</w:t>
      </w:r>
      <w:r w:rsidR="000A0941" w:rsidRPr="000A0941">
        <w:rPr>
          <w:rFonts w:eastAsiaTheme="minorHAnsi"/>
        </w:rPr>
        <w:t xml:space="preserve"> clinical governance </w:t>
      </w:r>
      <w:r>
        <w:rPr>
          <w:rFonts w:eastAsiaTheme="minorHAnsi"/>
        </w:rPr>
        <w:t>to</w:t>
      </w:r>
      <w:r w:rsidR="000A0941" w:rsidRPr="000A0941">
        <w:rPr>
          <w:rFonts w:eastAsiaTheme="minorHAnsi"/>
        </w:rPr>
        <w:t xml:space="preserve"> </w:t>
      </w:r>
      <w:r w:rsidR="000A0941" w:rsidRPr="00886642">
        <w:rPr>
          <w:rFonts w:eastAsiaTheme="minorHAnsi"/>
        </w:rPr>
        <w:t xml:space="preserve">all </w:t>
      </w:r>
      <w:r w:rsidR="004855B8" w:rsidRPr="00886642">
        <w:rPr>
          <w:rFonts w:eastAsiaTheme="minorHAnsi"/>
        </w:rPr>
        <w:t xml:space="preserve">HITH </w:t>
      </w:r>
      <w:r w:rsidR="000A0941" w:rsidRPr="00886642">
        <w:rPr>
          <w:rFonts w:eastAsiaTheme="minorHAnsi"/>
        </w:rPr>
        <w:t>patients</w:t>
      </w:r>
      <w:r w:rsidR="004855B8" w:rsidRPr="00886642">
        <w:rPr>
          <w:rFonts w:eastAsiaTheme="minorHAnsi"/>
        </w:rPr>
        <w:t>, including</w:t>
      </w:r>
      <w:r w:rsidR="004855B8">
        <w:rPr>
          <w:rFonts w:eastAsiaTheme="minorHAnsi"/>
        </w:rPr>
        <w:t xml:space="preserve"> </w:t>
      </w:r>
      <w:r w:rsidR="000A0941" w:rsidRPr="000A0941">
        <w:rPr>
          <w:rFonts w:eastAsiaTheme="minorHAnsi"/>
        </w:rPr>
        <w:t xml:space="preserve">their safe and </w:t>
      </w:r>
      <w:r w:rsidR="004855B8" w:rsidRPr="000A0941">
        <w:rPr>
          <w:rFonts w:eastAsiaTheme="minorHAnsi"/>
        </w:rPr>
        <w:t>timely transfer</w:t>
      </w:r>
      <w:r w:rsidR="000A0941" w:rsidRPr="000A0941">
        <w:rPr>
          <w:rFonts w:eastAsiaTheme="minorHAnsi"/>
        </w:rPr>
        <w:t xml:space="preserve"> </w:t>
      </w:r>
      <w:r w:rsidR="00A30046">
        <w:rPr>
          <w:rFonts w:eastAsiaTheme="minorHAnsi"/>
        </w:rPr>
        <w:t>t</w:t>
      </w:r>
      <w:r w:rsidR="000A0941" w:rsidRPr="000A0941">
        <w:rPr>
          <w:rFonts w:eastAsiaTheme="minorHAnsi"/>
        </w:rPr>
        <w:t xml:space="preserve">o and from other providers </w:t>
      </w:r>
    </w:p>
    <w:p w14:paraId="3AFD6A49" w14:textId="2C5DCD05" w:rsidR="000A0941" w:rsidRPr="000A0941" w:rsidRDefault="000A0941" w:rsidP="00557170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t xml:space="preserve">Provide </w:t>
      </w:r>
      <w:r w:rsidR="004855B8" w:rsidRPr="000A0941">
        <w:rPr>
          <w:rFonts w:eastAsiaTheme="minorHAnsi"/>
        </w:rPr>
        <w:t>24-hour</w:t>
      </w:r>
      <w:r w:rsidRPr="000A0941">
        <w:rPr>
          <w:rFonts w:eastAsiaTheme="minorHAnsi"/>
        </w:rPr>
        <w:t xml:space="preserve"> oversight and </w:t>
      </w:r>
      <w:r w:rsidR="00A26780">
        <w:rPr>
          <w:rFonts w:eastAsiaTheme="minorHAnsi"/>
        </w:rPr>
        <w:t xml:space="preserve">an </w:t>
      </w:r>
      <w:r w:rsidRPr="000A0941">
        <w:rPr>
          <w:rFonts w:eastAsiaTheme="minorHAnsi"/>
        </w:rPr>
        <w:t xml:space="preserve">escalation point </w:t>
      </w:r>
      <w:r w:rsidRPr="00886642">
        <w:rPr>
          <w:rFonts w:eastAsiaTheme="minorHAnsi"/>
        </w:rPr>
        <w:t>for HITH patients</w:t>
      </w:r>
      <w:r w:rsidRPr="000A0941">
        <w:rPr>
          <w:rFonts w:eastAsiaTheme="minorHAnsi"/>
        </w:rPr>
        <w:t xml:space="preserve"> </w:t>
      </w:r>
    </w:p>
    <w:p w14:paraId="26E3489D" w14:textId="77777777" w:rsidR="000A0941" w:rsidRPr="000A0941" w:rsidRDefault="000A0941" w:rsidP="4EABBC15">
      <w:pPr>
        <w:pStyle w:val="ListBullet"/>
        <w:rPr>
          <w:rFonts w:eastAsiaTheme="minorEastAsia"/>
        </w:rPr>
      </w:pPr>
      <w:r w:rsidRPr="4EABBC15">
        <w:rPr>
          <w:rFonts w:eastAsiaTheme="minorEastAsia"/>
        </w:rPr>
        <w:t xml:space="preserve">Lead, coordinate and supervise </w:t>
      </w:r>
      <w:r w:rsidR="00A30046" w:rsidRPr="4EABBC15">
        <w:rPr>
          <w:rFonts w:eastAsiaTheme="minorEastAsia"/>
        </w:rPr>
        <w:t xml:space="preserve">the </w:t>
      </w:r>
      <w:r w:rsidRPr="4EABBC15">
        <w:rPr>
          <w:rFonts w:eastAsiaTheme="minorEastAsia"/>
        </w:rPr>
        <w:t xml:space="preserve">multidisciplinary team </w:t>
      </w:r>
    </w:p>
    <w:p w14:paraId="513A2AF1" w14:textId="23C9C036" w:rsidR="098160B1" w:rsidRDefault="098160B1" w:rsidP="4EABBC15">
      <w:pPr>
        <w:pStyle w:val="ListBullet"/>
      </w:pPr>
      <w:r w:rsidRPr="4EABBC15">
        <w:rPr>
          <w:rFonts w:eastAsiaTheme="minorEastAsia"/>
          <w:szCs w:val="22"/>
        </w:rPr>
        <w:t xml:space="preserve">Work closely with the </w:t>
      </w:r>
      <w:r w:rsidR="00C0228D">
        <w:rPr>
          <w:rFonts w:eastAsiaTheme="minorEastAsia"/>
          <w:szCs w:val="22"/>
        </w:rPr>
        <w:t xml:space="preserve">Nurse Unit </w:t>
      </w:r>
      <w:r w:rsidR="00C0228D" w:rsidRPr="00C0228D">
        <w:rPr>
          <w:rFonts w:eastAsiaTheme="minorEastAsia"/>
          <w:szCs w:val="22"/>
        </w:rPr>
        <w:t>Manager (</w:t>
      </w:r>
      <w:r w:rsidRPr="00C0228D">
        <w:rPr>
          <w:rFonts w:eastAsiaTheme="minorEastAsia"/>
          <w:szCs w:val="22"/>
        </w:rPr>
        <w:t>NUM</w:t>
      </w:r>
      <w:r w:rsidR="00C0228D" w:rsidRPr="00C0228D">
        <w:rPr>
          <w:rFonts w:eastAsiaTheme="minorEastAsia"/>
          <w:szCs w:val="22"/>
        </w:rPr>
        <w:t>)</w:t>
      </w:r>
      <w:r w:rsidRPr="00C0228D">
        <w:rPr>
          <w:rFonts w:eastAsiaTheme="minorEastAsia"/>
          <w:szCs w:val="22"/>
        </w:rPr>
        <w:t xml:space="preserve"> and </w:t>
      </w:r>
      <w:r w:rsidR="00C0228D" w:rsidRPr="00C0228D">
        <w:rPr>
          <w:rFonts w:eastAsiaTheme="minorEastAsia"/>
          <w:szCs w:val="22"/>
        </w:rPr>
        <w:t>Clinical Nurse Consultant (</w:t>
      </w:r>
      <w:r w:rsidRPr="00C0228D">
        <w:rPr>
          <w:rFonts w:eastAsiaTheme="minorEastAsia"/>
          <w:szCs w:val="22"/>
        </w:rPr>
        <w:t>CNC</w:t>
      </w:r>
      <w:r w:rsidR="00C0228D" w:rsidRPr="00C0228D">
        <w:rPr>
          <w:rFonts w:eastAsiaTheme="minorEastAsia"/>
          <w:szCs w:val="22"/>
        </w:rPr>
        <w:t>)</w:t>
      </w:r>
      <w:r w:rsidRPr="00C0228D">
        <w:rPr>
          <w:rFonts w:eastAsiaTheme="minorEastAsia"/>
          <w:szCs w:val="22"/>
        </w:rPr>
        <w:t xml:space="preserve"> on</w:t>
      </w:r>
      <w:r w:rsidRPr="4EABBC15">
        <w:rPr>
          <w:rFonts w:eastAsiaTheme="minorEastAsia"/>
          <w:szCs w:val="22"/>
        </w:rPr>
        <w:t xml:space="preserve"> service developments and safety and quality matters</w:t>
      </w:r>
    </w:p>
    <w:p w14:paraId="78657D8F" w14:textId="77777777" w:rsidR="000A0941" w:rsidRPr="000A0941" w:rsidRDefault="000A0941" w:rsidP="00557170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t>Engage in and develop quality assurance program</w:t>
      </w:r>
      <w:r w:rsidR="00A30046">
        <w:rPr>
          <w:rFonts w:eastAsiaTheme="minorHAnsi"/>
        </w:rPr>
        <w:t xml:space="preserve">s </w:t>
      </w:r>
      <w:r w:rsidRPr="000A0941">
        <w:rPr>
          <w:rFonts w:eastAsiaTheme="minorHAnsi"/>
        </w:rPr>
        <w:t xml:space="preserve">for </w:t>
      </w:r>
      <w:r w:rsidR="00A30046">
        <w:rPr>
          <w:rFonts w:eastAsiaTheme="minorHAnsi"/>
        </w:rPr>
        <w:t>HITH,</w:t>
      </w:r>
      <w:r w:rsidRPr="000A0941">
        <w:rPr>
          <w:rFonts w:eastAsiaTheme="minorHAnsi"/>
        </w:rPr>
        <w:t xml:space="preserve"> including </w:t>
      </w:r>
      <w:r w:rsidR="00A30046">
        <w:rPr>
          <w:rFonts w:eastAsiaTheme="minorHAnsi"/>
        </w:rPr>
        <w:t>a</w:t>
      </w:r>
      <w:r w:rsidRPr="000A0941">
        <w:rPr>
          <w:rFonts w:eastAsiaTheme="minorHAnsi"/>
        </w:rPr>
        <w:t>udits and clinical meetings</w:t>
      </w:r>
    </w:p>
    <w:p w14:paraId="688EBE93" w14:textId="133779BB" w:rsidR="000A0941" w:rsidRPr="000A0941" w:rsidRDefault="000A0941" w:rsidP="00557170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t>Monitor and investigate all clinical inciden</w:t>
      </w:r>
      <w:r w:rsidR="00A26780">
        <w:rPr>
          <w:rFonts w:eastAsiaTheme="minorHAnsi"/>
        </w:rPr>
        <w:t>t</w:t>
      </w:r>
      <w:r w:rsidRPr="000A0941">
        <w:rPr>
          <w:rFonts w:eastAsiaTheme="minorHAnsi"/>
        </w:rPr>
        <w:t xml:space="preserve">s </w:t>
      </w:r>
    </w:p>
    <w:p w14:paraId="4731EF55" w14:textId="71404484" w:rsidR="000A0941" w:rsidRPr="000A0941" w:rsidRDefault="000A0941" w:rsidP="00557170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lastRenderedPageBreak/>
        <w:t>Actively support risk management process</w:t>
      </w:r>
      <w:r w:rsidR="003B490B">
        <w:rPr>
          <w:rFonts w:eastAsiaTheme="minorHAnsi"/>
        </w:rPr>
        <w:t>es</w:t>
      </w:r>
    </w:p>
    <w:p w14:paraId="61B7793A" w14:textId="49CB661B" w:rsidR="000A0941" w:rsidRPr="000A0941" w:rsidRDefault="000A0941" w:rsidP="00557170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t xml:space="preserve">Lead and support continuous quality improvement </w:t>
      </w:r>
      <w:r w:rsidR="003B490B">
        <w:rPr>
          <w:rFonts w:eastAsiaTheme="minorHAnsi"/>
        </w:rPr>
        <w:t>and research</w:t>
      </w:r>
    </w:p>
    <w:p w14:paraId="56B28EBE" w14:textId="1B46D59B" w:rsidR="000A0941" w:rsidRDefault="000A0941" w:rsidP="00557170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t xml:space="preserve">Actively support </w:t>
      </w:r>
      <w:r w:rsidR="002A0AC3">
        <w:rPr>
          <w:rFonts w:eastAsiaTheme="minorHAnsi"/>
        </w:rPr>
        <w:t>O</w:t>
      </w:r>
      <w:r w:rsidRPr="000A0941">
        <w:rPr>
          <w:rFonts w:eastAsiaTheme="minorHAnsi"/>
        </w:rPr>
        <w:t xml:space="preserve">pen </w:t>
      </w:r>
      <w:r w:rsidR="002A0AC3">
        <w:rPr>
          <w:rFonts w:eastAsiaTheme="minorHAnsi"/>
        </w:rPr>
        <w:t>D</w:t>
      </w:r>
      <w:r w:rsidRPr="000A0941">
        <w:rPr>
          <w:rFonts w:eastAsiaTheme="minorHAnsi"/>
        </w:rPr>
        <w:t>isclosure processes</w:t>
      </w:r>
    </w:p>
    <w:p w14:paraId="077D68B7" w14:textId="4C2B0ACF" w:rsidR="00DD502C" w:rsidRPr="007F51AF" w:rsidRDefault="00C821EC" w:rsidP="007F51AF">
      <w:pPr>
        <w:pStyle w:val="ListBullet"/>
      </w:pPr>
      <w:r>
        <w:t>Develop clinical pathways, models of care and service delivery modes that enhance patients</w:t>
      </w:r>
      <w:r w:rsidR="00A26780">
        <w:t>’</w:t>
      </w:r>
      <w:r>
        <w:t xml:space="preserve"> safety and expand the scope of clinical care delivered </w:t>
      </w:r>
    </w:p>
    <w:p w14:paraId="1B1B05B6" w14:textId="0F1A51B9" w:rsidR="00605276" w:rsidRPr="007F51AF" w:rsidRDefault="009A5B28" w:rsidP="00956A41">
      <w:pPr>
        <w:pStyle w:val="ListBullet"/>
        <w:rPr>
          <w:rFonts w:eastAsiaTheme="minorHAnsi"/>
        </w:rPr>
      </w:pPr>
      <w:r w:rsidRPr="007F51AF">
        <w:t xml:space="preserve">Provide authoritative and expert advice, counsel and leadership on clinical service delivery and development to </w:t>
      </w:r>
      <w:r w:rsidR="007F51AF" w:rsidRPr="007F51AF">
        <w:t>appropriate committees</w:t>
      </w:r>
      <w:r w:rsidRPr="007F51AF">
        <w:t xml:space="preserve"> and forums</w:t>
      </w:r>
    </w:p>
    <w:p w14:paraId="59926D96" w14:textId="40E6E0C2" w:rsidR="003B69C4" w:rsidRPr="00A67C39" w:rsidRDefault="003B69C4" w:rsidP="00956A41">
      <w:pPr>
        <w:pStyle w:val="ListBullet"/>
        <w:rPr>
          <w:rFonts w:eastAsiaTheme="minorHAnsi"/>
        </w:rPr>
      </w:pPr>
      <w:r>
        <w:t>Monitor and man</w:t>
      </w:r>
      <w:r w:rsidR="007C7F3E">
        <w:t>a</w:t>
      </w:r>
      <w:r>
        <w:t xml:space="preserve">ge appropriate key performance indicators to provide a safe </w:t>
      </w:r>
      <w:r w:rsidR="00A26780">
        <w:t>h</w:t>
      </w:r>
      <w:r>
        <w:t xml:space="preserve">igh </w:t>
      </w:r>
      <w:r w:rsidR="00A26780">
        <w:t>v</w:t>
      </w:r>
      <w:r>
        <w:t xml:space="preserve">alue service engaged in </w:t>
      </w:r>
      <w:r w:rsidR="007F51AF">
        <w:t>continual quality</w:t>
      </w:r>
      <w:r>
        <w:t xml:space="preserve"> improvement</w:t>
      </w:r>
      <w:r w:rsidR="00AE54F6">
        <w:t>.</w:t>
      </w:r>
    </w:p>
    <w:p w14:paraId="0062907A" w14:textId="03487DEA" w:rsidR="007C7F3E" w:rsidRDefault="007C7F3E" w:rsidP="00A67C39">
      <w:pPr>
        <w:pStyle w:val="ListBullet"/>
        <w:numPr>
          <w:ilvl w:val="0"/>
          <w:numId w:val="0"/>
        </w:numPr>
        <w:ind w:left="284"/>
        <w:rPr>
          <w:rFonts w:eastAsiaTheme="minorHAnsi"/>
        </w:rPr>
      </w:pPr>
    </w:p>
    <w:p w14:paraId="76B6E62A" w14:textId="77777777" w:rsidR="000A0941" w:rsidRPr="000A0941" w:rsidRDefault="000A0941" w:rsidP="000A0941">
      <w:pPr>
        <w:pStyle w:val="Heading3"/>
        <w:rPr>
          <w:rFonts w:eastAsiaTheme="minorHAnsi"/>
        </w:rPr>
      </w:pPr>
      <w:bookmarkStart w:id="0" w:name="_Hlk74560227"/>
      <w:r w:rsidRPr="000A0941">
        <w:rPr>
          <w:rFonts w:eastAsiaTheme="minorHAnsi"/>
        </w:rPr>
        <w:t>Engagement</w:t>
      </w:r>
    </w:p>
    <w:bookmarkEnd w:id="0"/>
    <w:p w14:paraId="61A8CB4C" w14:textId="70E1B9A4" w:rsidR="000A0941" w:rsidRPr="000A0941" w:rsidRDefault="000A0941" w:rsidP="00557170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t>Champion</w:t>
      </w:r>
      <w:r w:rsidR="00AB1F68">
        <w:rPr>
          <w:rFonts w:eastAsiaTheme="minorHAnsi"/>
        </w:rPr>
        <w:t xml:space="preserve"> and facilitate </w:t>
      </w:r>
      <w:r w:rsidRPr="000A0941">
        <w:rPr>
          <w:rFonts w:eastAsiaTheme="minorHAnsi"/>
        </w:rPr>
        <w:t xml:space="preserve">patient choice and access to HITH </w:t>
      </w:r>
    </w:p>
    <w:p w14:paraId="238C0E22" w14:textId="0CE366AB" w:rsidR="000A0941" w:rsidRPr="000A0941" w:rsidRDefault="000A0941" w:rsidP="00557170">
      <w:pPr>
        <w:pStyle w:val="ListBullet"/>
        <w:rPr>
          <w:rFonts w:eastAsiaTheme="minorHAnsi"/>
        </w:rPr>
      </w:pPr>
      <w:r w:rsidRPr="00886642">
        <w:rPr>
          <w:rFonts w:eastAsiaTheme="minorHAnsi"/>
        </w:rPr>
        <w:t>Communicat</w:t>
      </w:r>
      <w:r w:rsidR="00A30046" w:rsidRPr="00886642">
        <w:rPr>
          <w:rFonts w:eastAsiaTheme="minorHAnsi"/>
        </w:rPr>
        <w:t>e</w:t>
      </w:r>
      <w:r w:rsidRPr="00886642">
        <w:rPr>
          <w:rFonts w:eastAsiaTheme="minorHAnsi"/>
        </w:rPr>
        <w:t xml:space="preserve"> and engag</w:t>
      </w:r>
      <w:r w:rsidR="00A30046" w:rsidRPr="00886642">
        <w:rPr>
          <w:rFonts w:eastAsiaTheme="minorHAnsi"/>
        </w:rPr>
        <w:t>e</w:t>
      </w:r>
      <w:r w:rsidRPr="00886642">
        <w:rPr>
          <w:rFonts w:eastAsiaTheme="minorHAnsi"/>
        </w:rPr>
        <w:t xml:space="preserve"> with consumers to promote and </w:t>
      </w:r>
      <w:r w:rsidR="00C225A8" w:rsidRPr="00886642">
        <w:rPr>
          <w:rFonts w:eastAsiaTheme="minorHAnsi"/>
        </w:rPr>
        <w:t>improve health literacy related to HITH</w:t>
      </w:r>
    </w:p>
    <w:p w14:paraId="4F06FAED" w14:textId="77777777" w:rsidR="000A0941" w:rsidRPr="000A0941" w:rsidRDefault="000A0941" w:rsidP="00557170">
      <w:pPr>
        <w:pStyle w:val="ListBullet"/>
        <w:rPr>
          <w:rFonts w:eastAsiaTheme="minorHAnsi"/>
        </w:rPr>
      </w:pPr>
      <w:r w:rsidRPr="000A0941">
        <w:rPr>
          <w:rFonts w:eastAsiaTheme="minorHAnsi"/>
        </w:rPr>
        <w:t>Communicate and engage with clinical teams individually</w:t>
      </w:r>
      <w:r w:rsidR="00C033A1">
        <w:rPr>
          <w:rFonts w:eastAsiaTheme="minorHAnsi"/>
        </w:rPr>
        <w:t>,</w:t>
      </w:r>
      <w:r w:rsidRPr="000A0941">
        <w:rPr>
          <w:rFonts w:eastAsiaTheme="minorHAnsi"/>
        </w:rPr>
        <w:t xml:space="preserve"> as partners in the provision of continuous holistic patient care</w:t>
      </w:r>
    </w:p>
    <w:p w14:paraId="59D5485D" w14:textId="6D593D63" w:rsidR="000A0941" w:rsidRDefault="000A0941" w:rsidP="4EABBC15">
      <w:pPr>
        <w:pStyle w:val="ListBullet"/>
        <w:rPr>
          <w:rFonts w:eastAsiaTheme="minorEastAsia"/>
        </w:rPr>
      </w:pPr>
      <w:r w:rsidRPr="4EABBC15">
        <w:rPr>
          <w:rFonts w:eastAsiaTheme="minorEastAsia"/>
        </w:rPr>
        <w:t xml:space="preserve">Educate and inform the </w:t>
      </w:r>
      <w:r w:rsidR="00A30046" w:rsidRPr="4EABBC15">
        <w:rPr>
          <w:rFonts w:eastAsiaTheme="minorEastAsia"/>
        </w:rPr>
        <w:t>h</w:t>
      </w:r>
      <w:r w:rsidRPr="4EABBC15">
        <w:rPr>
          <w:rFonts w:eastAsiaTheme="minorEastAsia"/>
        </w:rPr>
        <w:t xml:space="preserve">ealthcare system of the existence, </w:t>
      </w:r>
      <w:r w:rsidR="00E913CE" w:rsidRPr="4EABBC15">
        <w:rPr>
          <w:rFonts w:eastAsiaTheme="minorEastAsia"/>
        </w:rPr>
        <w:t>safety,</w:t>
      </w:r>
      <w:r w:rsidRPr="4EABBC15">
        <w:rPr>
          <w:rFonts w:eastAsiaTheme="minorEastAsia"/>
        </w:rPr>
        <w:t xml:space="preserve"> and utility of HITH through education, presentations, </w:t>
      </w:r>
      <w:proofErr w:type="gramStart"/>
      <w:r w:rsidRPr="4EABBC15">
        <w:rPr>
          <w:rFonts w:eastAsiaTheme="minorEastAsia"/>
        </w:rPr>
        <w:t>research</w:t>
      </w:r>
      <w:proofErr w:type="gramEnd"/>
      <w:r w:rsidRPr="4EABBC15">
        <w:rPr>
          <w:rFonts w:eastAsiaTheme="minorEastAsia"/>
        </w:rPr>
        <w:t xml:space="preserve"> and collaborative projects</w:t>
      </w:r>
    </w:p>
    <w:p w14:paraId="4520ABD8" w14:textId="22AB5C1C" w:rsidR="00664E19" w:rsidRPr="00A67C39" w:rsidRDefault="00956A41" w:rsidP="00557170">
      <w:pPr>
        <w:pStyle w:val="ListBullet"/>
        <w:rPr>
          <w:rFonts w:eastAsiaTheme="minorHAnsi"/>
        </w:rPr>
      </w:pPr>
      <w:r>
        <w:rPr>
          <w:rFonts w:cs="Arial"/>
        </w:rPr>
        <w:t>P</w:t>
      </w:r>
      <w:r w:rsidRPr="003251AB">
        <w:rPr>
          <w:rFonts w:cs="Arial"/>
        </w:rPr>
        <w:t xml:space="preserve">rovide specialist </w:t>
      </w:r>
      <w:r>
        <w:t>HITH</w:t>
      </w:r>
      <w:r>
        <w:rPr>
          <w:rFonts w:cs="Arial"/>
          <w:szCs w:val="20"/>
        </w:rPr>
        <w:t xml:space="preserve"> </w:t>
      </w:r>
      <w:r w:rsidRPr="003251AB">
        <w:rPr>
          <w:rFonts w:cs="Arial"/>
        </w:rPr>
        <w:t>expertise and</w:t>
      </w:r>
      <w:r w:rsidRPr="00AF31F7">
        <w:rPr>
          <w:rFonts w:cs="Arial"/>
        </w:rPr>
        <w:t xml:space="preserve"> advice for patients of surgical and medical departments, in conjunction with the relevant surgical/medical s</w:t>
      </w:r>
      <w:r>
        <w:rPr>
          <w:rFonts w:cs="Arial"/>
        </w:rPr>
        <w:t>pecialists and the broader interdisciplinary team</w:t>
      </w:r>
    </w:p>
    <w:p w14:paraId="1567DDD6" w14:textId="1AF730C6" w:rsidR="00664E19" w:rsidRPr="00A67C39" w:rsidRDefault="00664E19" w:rsidP="00557170">
      <w:pPr>
        <w:pStyle w:val="ListBullet"/>
        <w:rPr>
          <w:rFonts w:eastAsiaTheme="minorHAnsi"/>
        </w:rPr>
      </w:pPr>
      <w:r>
        <w:rPr>
          <w:rFonts w:cs="Arial"/>
        </w:rPr>
        <w:t xml:space="preserve">Engage with the appropriate Hospital and Health </w:t>
      </w:r>
      <w:r w:rsidR="00AE54F6">
        <w:rPr>
          <w:rFonts w:cs="Arial"/>
        </w:rPr>
        <w:t>S</w:t>
      </w:r>
      <w:r>
        <w:rPr>
          <w:rFonts w:cs="Arial"/>
        </w:rPr>
        <w:t xml:space="preserve">ervice Executives </w:t>
      </w:r>
      <w:r w:rsidR="000F1EEE">
        <w:rPr>
          <w:rFonts w:cs="Arial"/>
        </w:rPr>
        <w:t xml:space="preserve">to promote and expand HITH and escalate issues as required </w:t>
      </w:r>
      <w:r w:rsidR="00746518">
        <w:rPr>
          <w:rFonts w:cs="Arial"/>
        </w:rPr>
        <w:t>in conjunction with consumer engagement</w:t>
      </w:r>
      <w:r w:rsidR="00AE54F6">
        <w:rPr>
          <w:rFonts w:cs="Arial"/>
        </w:rPr>
        <w:t>.</w:t>
      </w:r>
      <w:r w:rsidR="00746518">
        <w:rPr>
          <w:rFonts w:cs="Arial"/>
        </w:rPr>
        <w:t xml:space="preserve"> </w:t>
      </w:r>
    </w:p>
    <w:p w14:paraId="0CB0D957" w14:textId="77777777" w:rsidR="00A67C39" w:rsidRPr="00A67C39" w:rsidRDefault="00A67C39" w:rsidP="00A67C39">
      <w:pPr>
        <w:pStyle w:val="ListBullet"/>
        <w:numPr>
          <w:ilvl w:val="0"/>
          <w:numId w:val="0"/>
        </w:numPr>
        <w:ind w:left="284"/>
        <w:rPr>
          <w:rFonts w:eastAsiaTheme="minorHAnsi"/>
        </w:rPr>
      </w:pPr>
    </w:p>
    <w:p w14:paraId="36BC8B2A" w14:textId="2E020B9F" w:rsidR="00956A41" w:rsidRDefault="00956A41" w:rsidP="00956A41">
      <w:pPr>
        <w:pStyle w:val="Heading3"/>
        <w:rPr>
          <w:rFonts w:eastAsiaTheme="minorHAnsi"/>
        </w:rPr>
      </w:pPr>
      <w:r w:rsidRPr="000A0941">
        <w:rPr>
          <w:rFonts w:eastAsiaTheme="minorHAnsi"/>
        </w:rPr>
        <w:t>E</w:t>
      </w:r>
      <w:r>
        <w:rPr>
          <w:rFonts w:eastAsiaTheme="minorHAnsi"/>
        </w:rPr>
        <w:t>xpansion</w:t>
      </w:r>
    </w:p>
    <w:p w14:paraId="5553E793" w14:textId="22F96668" w:rsidR="00956A41" w:rsidRPr="00A67C39" w:rsidRDefault="007F51AF" w:rsidP="00A67C39">
      <w:pPr>
        <w:pStyle w:val="ListBullet"/>
        <w:rPr>
          <w:rFonts w:eastAsiaTheme="minorHAnsi"/>
        </w:rPr>
      </w:pPr>
      <w:r w:rsidRPr="00A67C39">
        <w:rPr>
          <w:rFonts w:eastAsiaTheme="minorHAnsi"/>
        </w:rPr>
        <w:t>Participate in</w:t>
      </w:r>
      <w:r w:rsidR="00956A41" w:rsidRPr="00A67C39">
        <w:rPr>
          <w:rFonts w:eastAsiaTheme="minorHAnsi"/>
        </w:rPr>
        <w:t xml:space="preserve"> the planning and development of strategic initiatives, programs and projects that support the expansion of HITH service capabilities, </w:t>
      </w:r>
      <w:proofErr w:type="gramStart"/>
      <w:r w:rsidR="00956A41" w:rsidRPr="00A67C39">
        <w:rPr>
          <w:rFonts w:eastAsiaTheme="minorHAnsi"/>
        </w:rPr>
        <w:t>volumes</w:t>
      </w:r>
      <w:proofErr w:type="gramEnd"/>
      <w:r w:rsidR="00956A41" w:rsidRPr="00A67C39">
        <w:rPr>
          <w:rFonts w:eastAsiaTheme="minorHAnsi"/>
        </w:rPr>
        <w:t xml:space="preserve"> and patient cohorts</w:t>
      </w:r>
    </w:p>
    <w:p w14:paraId="51170361" w14:textId="17097804" w:rsidR="00956A41" w:rsidRDefault="00956A41" w:rsidP="00A67C39">
      <w:pPr>
        <w:pStyle w:val="ListBullet"/>
        <w:rPr>
          <w:rFonts w:eastAsiaTheme="minorHAnsi"/>
        </w:rPr>
      </w:pPr>
      <w:r w:rsidRPr="00A67C39">
        <w:rPr>
          <w:rFonts w:eastAsiaTheme="minorHAnsi"/>
        </w:rPr>
        <w:t>Actively support interdisciplinary service delivery and models of care that align HITH expansion with the strategic vis</w:t>
      </w:r>
      <w:r w:rsidR="007C7F3E">
        <w:rPr>
          <w:rFonts w:eastAsiaTheme="minorHAnsi"/>
        </w:rPr>
        <w:t>ion</w:t>
      </w:r>
      <w:r w:rsidRPr="00A67C39">
        <w:rPr>
          <w:rFonts w:eastAsiaTheme="minorHAnsi"/>
        </w:rPr>
        <w:t xml:space="preserve"> for the </w:t>
      </w:r>
      <w:r w:rsidR="007C7F3E">
        <w:rPr>
          <w:rFonts w:eastAsiaTheme="minorHAnsi"/>
        </w:rPr>
        <w:t>HITH</w:t>
      </w:r>
      <w:r w:rsidRPr="00A67C39">
        <w:rPr>
          <w:rFonts w:eastAsiaTheme="minorHAnsi"/>
        </w:rPr>
        <w:t xml:space="preserve"> </w:t>
      </w:r>
      <w:r w:rsidR="00A97158" w:rsidRPr="00A67C39">
        <w:rPr>
          <w:rFonts w:eastAsiaTheme="minorHAnsi"/>
        </w:rPr>
        <w:t>service</w:t>
      </w:r>
    </w:p>
    <w:p w14:paraId="614DF0FE" w14:textId="0CF3B078" w:rsidR="00020E09" w:rsidRDefault="00020E09" w:rsidP="00A67C39">
      <w:pPr>
        <w:pStyle w:val="ListBullet"/>
        <w:rPr>
          <w:rFonts w:eastAsiaTheme="minorHAnsi"/>
        </w:rPr>
      </w:pPr>
      <w:r>
        <w:t>Promote the uptake of virtual health through the expansion of telehealth, remote patient monitoring and other IT solutions to improve the safety and quality of patient care</w:t>
      </w:r>
      <w:r w:rsidR="00AE54F6">
        <w:t>.</w:t>
      </w:r>
    </w:p>
    <w:p w14:paraId="08C35738" w14:textId="77777777" w:rsidR="00A67C39" w:rsidRPr="00A67C39" w:rsidRDefault="00A67C39" w:rsidP="00A67C39">
      <w:pPr>
        <w:pStyle w:val="ListBullet"/>
        <w:numPr>
          <w:ilvl w:val="0"/>
          <w:numId w:val="0"/>
        </w:numPr>
        <w:ind w:left="284"/>
        <w:rPr>
          <w:rFonts w:eastAsiaTheme="minorHAnsi"/>
        </w:rPr>
      </w:pPr>
    </w:p>
    <w:p w14:paraId="0E24970B" w14:textId="57F7607E" w:rsidR="00956A41" w:rsidRDefault="00956A41" w:rsidP="00956A41">
      <w:pPr>
        <w:pStyle w:val="Heading3"/>
        <w:rPr>
          <w:rFonts w:eastAsiaTheme="minorHAnsi"/>
        </w:rPr>
      </w:pPr>
      <w:r w:rsidRPr="000A0941">
        <w:rPr>
          <w:rFonts w:eastAsiaTheme="minorHAnsi"/>
        </w:rPr>
        <w:t>E</w:t>
      </w:r>
      <w:r>
        <w:rPr>
          <w:rFonts w:eastAsiaTheme="minorHAnsi"/>
        </w:rPr>
        <w:t>ducation and research</w:t>
      </w:r>
    </w:p>
    <w:p w14:paraId="252F6860" w14:textId="03342DB1" w:rsidR="00956A41" w:rsidRPr="00A67C39" w:rsidRDefault="003B69C4" w:rsidP="00A67C39">
      <w:pPr>
        <w:pStyle w:val="ListBullet"/>
        <w:rPr>
          <w:rFonts w:eastAsiaTheme="minorHAnsi"/>
        </w:rPr>
      </w:pPr>
      <w:r w:rsidRPr="00A67C39">
        <w:rPr>
          <w:rFonts w:eastAsiaTheme="minorHAnsi"/>
        </w:rPr>
        <w:t xml:space="preserve">Mentor and supervise all relevant staff </w:t>
      </w:r>
    </w:p>
    <w:p w14:paraId="03C99255" w14:textId="63DA2B06" w:rsidR="003B69C4" w:rsidRPr="00A67C39" w:rsidRDefault="003B69C4" w:rsidP="00A67C39">
      <w:pPr>
        <w:pStyle w:val="ListBullet"/>
        <w:rPr>
          <w:rFonts w:eastAsiaTheme="minorHAnsi"/>
        </w:rPr>
      </w:pPr>
      <w:r w:rsidRPr="00A67C39">
        <w:rPr>
          <w:rFonts w:eastAsiaTheme="minorHAnsi"/>
        </w:rPr>
        <w:t xml:space="preserve">Maintain appropriate competencies </w:t>
      </w:r>
    </w:p>
    <w:p w14:paraId="43B179EB" w14:textId="4182CA6F" w:rsidR="003B69C4" w:rsidRPr="00A67C39" w:rsidRDefault="003B69C4" w:rsidP="00A67C39">
      <w:pPr>
        <w:pStyle w:val="ListBullet"/>
        <w:rPr>
          <w:rFonts w:eastAsiaTheme="minorHAnsi"/>
        </w:rPr>
      </w:pPr>
      <w:r w:rsidRPr="00A67C39">
        <w:rPr>
          <w:rFonts w:eastAsiaTheme="minorHAnsi"/>
        </w:rPr>
        <w:t xml:space="preserve">Collaborate to provide maximum teaching and research opportunities for registrars and junior staff </w:t>
      </w:r>
    </w:p>
    <w:p w14:paraId="005B6DD6" w14:textId="26DDC91C" w:rsidR="003B69C4" w:rsidRPr="00A67C39" w:rsidRDefault="003B69C4" w:rsidP="00A67C39">
      <w:pPr>
        <w:pStyle w:val="ListBullet"/>
        <w:rPr>
          <w:rFonts w:eastAsiaTheme="minorHAnsi"/>
        </w:rPr>
      </w:pPr>
      <w:r w:rsidRPr="00A67C39">
        <w:rPr>
          <w:rFonts w:eastAsiaTheme="minorHAnsi"/>
        </w:rPr>
        <w:t xml:space="preserve">Provide close </w:t>
      </w:r>
      <w:r w:rsidR="007F51AF" w:rsidRPr="00A67C39">
        <w:rPr>
          <w:rFonts w:eastAsiaTheme="minorHAnsi"/>
        </w:rPr>
        <w:t>supervision and</w:t>
      </w:r>
      <w:r w:rsidRPr="00A67C39">
        <w:rPr>
          <w:rFonts w:eastAsiaTheme="minorHAnsi"/>
        </w:rPr>
        <w:t xml:space="preserve"> support of registrars and junior medical staff to ensure a high standard of supported clinical practice </w:t>
      </w:r>
    </w:p>
    <w:p w14:paraId="22BC06C2" w14:textId="7EE60170" w:rsidR="003B69C4" w:rsidRPr="00A67C39" w:rsidRDefault="00C574A6" w:rsidP="00A67C39">
      <w:pPr>
        <w:pStyle w:val="ListBullet"/>
        <w:rPr>
          <w:rFonts w:eastAsiaTheme="minorHAnsi"/>
        </w:rPr>
      </w:pPr>
      <w:r>
        <w:rPr>
          <w:rFonts w:eastAsiaTheme="minorHAnsi"/>
        </w:rPr>
        <w:t xml:space="preserve">Support, as </w:t>
      </w:r>
      <w:r w:rsidR="003B69C4" w:rsidRPr="00A67C39">
        <w:rPr>
          <w:rFonts w:eastAsiaTheme="minorHAnsi"/>
        </w:rPr>
        <w:t>appropriate</w:t>
      </w:r>
      <w:r>
        <w:rPr>
          <w:rFonts w:eastAsiaTheme="minorHAnsi"/>
        </w:rPr>
        <w:t>,</w:t>
      </w:r>
      <w:r w:rsidR="003B69C4" w:rsidRPr="00A67C39">
        <w:rPr>
          <w:rFonts w:eastAsiaTheme="minorHAnsi"/>
        </w:rPr>
        <w:t xml:space="preserve"> training required for specialist registration </w:t>
      </w:r>
      <w:r w:rsidR="00D777DB">
        <w:rPr>
          <w:rFonts w:eastAsiaTheme="minorHAnsi"/>
        </w:rPr>
        <w:t xml:space="preserve">as deemed </w:t>
      </w:r>
      <w:r w:rsidR="003B69C4" w:rsidRPr="00A67C39">
        <w:rPr>
          <w:rFonts w:eastAsiaTheme="minorHAnsi"/>
        </w:rPr>
        <w:t xml:space="preserve">by the colleges </w:t>
      </w:r>
    </w:p>
    <w:p w14:paraId="5BCEC367" w14:textId="68476C86" w:rsidR="003B69C4" w:rsidRPr="00A67C39" w:rsidRDefault="003B69C4" w:rsidP="00A67C39">
      <w:pPr>
        <w:pStyle w:val="ListBullet"/>
        <w:rPr>
          <w:rFonts w:eastAsiaTheme="minorHAnsi"/>
        </w:rPr>
      </w:pPr>
      <w:r w:rsidRPr="00A67C39">
        <w:rPr>
          <w:rFonts w:eastAsiaTheme="minorHAnsi"/>
        </w:rPr>
        <w:t xml:space="preserve">Engage in ongoing HITH </w:t>
      </w:r>
      <w:r w:rsidR="00AE54F6">
        <w:rPr>
          <w:rFonts w:eastAsiaTheme="minorHAnsi"/>
        </w:rPr>
        <w:t>r</w:t>
      </w:r>
      <w:r w:rsidRPr="00A67C39">
        <w:rPr>
          <w:rFonts w:eastAsiaTheme="minorHAnsi"/>
        </w:rPr>
        <w:t>esearch</w:t>
      </w:r>
      <w:r w:rsidR="00AE54F6">
        <w:rPr>
          <w:rFonts w:eastAsiaTheme="minorHAnsi"/>
        </w:rPr>
        <w:t>.</w:t>
      </w:r>
      <w:r w:rsidRPr="00A67C39">
        <w:rPr>
          <w:rFonts w:eastAsiaTheme="minorHAnsi"/>
        </w:rPr>
        <w:t xml:space="preserve"> </w:t>
      </w:r>
    </w:p>
    <w:p w14:paraId="7E6AC642" w14:textId="04943701" w:rsidR="00956A41" w:rsidRDefault="00956A41" w:rsidP="00956A41">
      <w:pPr>
        <w:rPr>
          <w:lang w:val="en-GB"/>
        </w:rPr>
      </w:pPr>
    </w:p>
    <w:p w14:paraId="450EC2A2" w14:textId="77E88AFE" w:rsidR="008A6785" w:rsidRDefault="008A6785" w:rsidP="00956A41">
      <w:pPr>
        <w:rPr>
          <w:lang w:val="en-GB"/>
        </w:rPr>
      </w:pPr>
    </w:p>
    <w:p w14:paraId="2F291D7F" w14:textId="079053A7" w:rsidR="008A6785" w:rsidRDefault="008A6785" w:rsidP="00956A41">
      <w:pPr>
        <w:rPr>
          <w:lang w:val="en-GB"/>
        </w:rPr>
      </w:pPr>
    </w:p>
    <w:p w14:paraId="46E5D24F" w14:textId="77777777" w:rsidR="008A6785" w:rsidRPr="00956A41" w:rsidRDefault="008A6785" w:rsidP="00956A41">
      <w:pPr>
        <w:rPr>
          <w:lang w:val="en-GB"/>
        </w:rPr>
      </w:pPr>
    </w:p>
    <w:p w14:paraId="51169A28" w14:textId="5F2F25BA" w:rsidR="00FF0D1E" w:rsidRDefault="00FF0D1E" w:rsidP="00646352">
      <w:pPr>
        <w:pStyle w:val="ListBullet"/>
        <w:numPr>
          <w:ilvl w:val="0"/>
          <w:numId w:val="0"/>
        </w:numPr>
        <w:rPr>
          <w:rFonts w:eastAsiaTheme="minorHAnsi"/>
        </w:rPr>
      </w:pPr>
    </w:p>
    <w:p w14:paraId="2EC73D84" w14:textId="4E06C729" w:rsidR="00FF0D1E" w:rsidRPr="00A0163B" w:rsidRDefault="00FF0D1E" w:rsidP="00A0163B">
      <w:pPr>
        <w:pStyle w:val="Heading2"/>
        <w:rPr>
          <w:rFonts w:eastAsiaTheme="minorHAnsi"/>
          <w:lang w:val="en-AU"/>
        </w:rPr>
      </w:pPr>
      <w:r w:rsidRPr="00A0163B">
        <w:rPr>
          <w:rFonts w:eastAsiaTheme="minorHAnsi"/>
          <w:lang w:val="en-AU"/>
        </w:rPr>
        <w:lastRenderedPageBreak/>
        <w:t xml:space="preserve">Other requirements </w:t>
      </w:r>
    </w:p>
    <w:p w14:paraId="669DA741" w14:textId="4690B8CC" w:rsidR="00FF0D1E" w:rsidRDefault="00FF0D1E" w:rsidP="00646352">
      <w:pPr>
        <w:pStyle w:val="ListBullet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</w:rPr>
        <w:t xml:space="preserve">It </w:t>
      </w:r>
      <w:r w:rsidR="00A66C5A">
        <w:rPr>
          <w:rFonts w:eastAsiaTheme="minorHAnsi"/>
        </w:rPr>
        <w:t>is expected that</w:t>
      </w:r>
      <w:r>
        <w:rPr>
          <w:rFonts w:eastAsiaTheme="minorHAnsi"/>
        </w:rPr>
        <w:t xml:space="preserve"> the Senior Medical Officer </w:t>
      </w:r>
      <w:r w:rsidR="00A66C5A">
        <w:rPr>
          <w:rFonts w:eastAsiaTheme="minorHAnsi"/>
        </w:rPr>
        <w:t>will meet</w:t>
      </w:r>
      <w:r>
        <w:rPr>
          <w:rFonts w:eastAsiaTheme="minorHAnsi"/>
        </w:rPr>
        <w:t xml:space="preserve"> the mandatory requirements for </w:t>
      </w:r>
      <w:r w:rsidR="008A040C">
        <w:rPr>
          <w:rFonts w:eastAsiaTheme="minorHAnsi"/>
        </w:rPr>
        <w:t>credentialling,</w:t>
      </w:r>
      <w:r>
        <w:rPr>
          <w:rFonts w:eastAsiaTheme="minorHAnsi"/>
        </w:rPr>
        <w:t xml:space="preserve"> and registration </w:t>
      </w:r>
      <w:r w:rsidR="006810CA">
        <w:rPr>
          <w:rFonts w:eastAsiaTheme="minorHAnsi"/>
        </w:rPr>
        <w:t>delineated</w:t>
      </w:r>
      <w:r>
        <w:rPr>
          <w:rFonts w:eastAsiaTheme="minorHAnsi"/>
        </w:rPr>
        <w:t xml:space="preserve"> in the local or sta</w:t>
      </w:r>
      <w:r w:rsidR="006810CA">
        <w:rPr>
          <w:rFonts w:eastAsiaTheme="minorHAnsi"/>
        </w:rPr>
        <w:t>t</w:t>
      </w:r>
      <w:r>
        <w:rPr>
          <w:rFonts w:eastAsiaTheme="minorHAnsi"/>
        </w:rPr>
        <w:t>e formal</w:t>
      </w:r>
      <w:r w:rsidR="006810CA">
        <w:rPr>
          <w:rFonts w:eastAsiaTheme="minorHAnsi"/>
        </w:rPr>
        <w:t xml:space="preserve"> role description. It </w:t>
      </w:r>
      <w:r w:rsidR="00A66C5A">
        <w:rPr>
          <w:rFonts w:eastAsiaTheme="minorHAnsi"/>
        </w:rPr>
        <w:t xml:space="preserve">is strongly desirable </w:t>
      </w:r>
      <w:r w:rsidR="006810CA">
        <w:rPr>
          <w:rFonts w:eastAsiaTheme="minorHAnsi"/>
        </w:rPr>
        <w:t xml:space="preserve">that basic life support (BLS) and advanced life support (ALS) certification </w:t>
      </w:r>
      <w:r w:rsidR="00A66C5A">
        <w:rPr>
          <w:rFonts w:eastAsiaTheme="minorHAnsi"/>
        </w:rPr>
        <w:t xml:space="preserve">is a requirement </w:t>
      </w:r>
      <w:r w:rsidR="006810CA">
        <w:rPr>
          <w:rFonts w:eastAsiaTheme="minorHAnsi"/>
        </w:rPr>
        <w:t>given the</w:t>
      </w:r>
      <w:r w:rsidR="00A66C5A">
        <w:rPr>
          <w:rFonts w:eastAsiaTheme="minorHAnsi"/>
        </w:rPr>
        <w:t xml:space="preserve"> need to support care of acute unexpected deterioration in an isolated setting.</w:t>
      </w:r>
    </w:p>
    <w:p w14:paraId="41CC353B" w14:textId="477539D6" w:rsidR="00FF0D1E" w:rsidRPr="00A67C39" w:rsidRDefault="00FF0D1E" w:rsidP="00646352">
      <w:pPr>
        <w:pStyle w:val="ListBullet"/>
        <w:numPr>
          <w:ilvl w:val="0"/>
          <w:numId w:val="0"/>
        </w:numPr>
        <w:rPr>
          <w:rFonts w:eastAsiaTheme="minorHAnsi"/>
        </w:rPr>
      </w:pPr>
    </w:p>
    <w:p w14:paraId="5B29E165" w14:textId="77777777" w:rsidR="00E85C1D" w:rsidRPr="00A0163B" w:rsidRDefault="00E85C1D" w:rsidP="00A0163B">
      <w:pPr>
        <w:pStyle w:val="Heading2"/>
        <w:rPr>
          <w:rFonts w:eastAsiaTheme="minorHAnsi"/>
          <w:lang w:val="en-AU"/>
        </w:rPr>
      </w:pPr>
      <w:r w:rsidRPr="00A0163B">
        <w:rPr>
          <w:rFonts w:eastAsiaTheme="minorHAnsi"/>
          <w:lang w:val="en-AU"/>
        </w:rPr>
        <w:t>Version Control</w:t>
      </w:r>
    </w:p>
    <w:tbl>
      <w:tblPr>
        <w:tblW w:w="4900" w:type="pct"/>
        <w:tblInd w:w="108" w:type="dxa"/>
        <w:tblBorders>
          <w:bottom w:val="single" w:sz="4" w:space="0" w:color="304F92"/>
          <w:insideH w:val="single" w:sz="4" w:space="0" w:color="304F92"/>
        </w:tblBorders>
        <w:tblLook w:val="01E0" w:firstRow="1" w:lastRow="1" w:firstColumn="1" w:lastColumn="1" w:noHBand="0" w:noVBand="0"/>
      </w:tblPr>
      <w:tblGrid>
        <w:gridCol w:w="1257"/>
        <w:gridCol w:w="2097"/>
        <w:gridCol w:w="6640"/>
      </w:tblGrid>
      <w:tr w:rsidR="00E85C1D" w:rsidRPr="00E85C1D" w14:paraId="50B60DD6" w14:textId="77777777" w:rsidTr="00F96FA0">
        <w:trPr>
          <w:cantSplit/>
          <w:tblHeader/>
        </w:trPr>
        <w:tc>
          <w:tcPr>
            <w:tcW w:w="629" w:type="pct"/>
            <w:shd w:val="clear" w:color="auto" w:fill="70AD47" w:themeFill="accent6"/>
          </w:tcPr>
          <w:p w14:paraId="70B8BA80" w14:textId="77777777" w:rsidR="00E85C1D" w:rsidRPr="00E85C1D" w:rsidRDefault="00E85C1D" w:rsidP="00E85C1D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FFFFFF"/>
                <w:sz w:val="20"/>
                <w:szCs w:val="20"/>
                <w:lang w:val="en-NZ"/>
              </w:rPr>
            </w:pPr>
            <w:r w:rsidRPr="00E85C1D">
              <w:rPr>
                <w:rFonts w:eastAsia="MS Mincho" w:cs="Arial"/>
                <w:color w:val="FFFFFF"/>
                <w:sz w:val="20"/>
                <w:szCs w:val="20"/>
                <w:lang w:val="en-NZ"/>
              </w:rPr>
              <w:t>Version</w:t>
            </w:r>
          </w:p>
        </w:tc>
        <w:tc>
          <w:tcPr>
            <w:tcW w:w="1049" w:type="pct"/>
            <w:shd w:val="clear" w:color="auto" w:fill="70AD47" w:themeFill="accent6"/>
          </w:tcPr>
          <w:p w14:paraId="79D7C665" w14:textId="77777777" w:rsidR="00E85C1D" w:rsidRPr="00E85C1D" w:rsidRDefault="00E85C1D" w:rsidP="00E85C1D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FFFFFF"/>
                <w:sz w:val="20"/>
                <w:szCs w:val="20"/>
                <w:lang w:val="en-NZ"/>
              </w:rPr>
            </w:pPr>
            <w:r w:rsidRPr="00E85C1D">
              <w:rPr>
                <w:rFonts w:eastAsia="MS Mincho" w:cs="Arial"/>
                <w:color w:val="FFFFFF"/>
                <w:sz w:val="20"/>
                <w:szCs w:val="20"/>
                <w:lang w:val="en-NZ"/>
              </w:rPr>
              <w:t>Date</w:t>
            </w:r>
          </w:p>
        </w:tc>
        <w:tc>
          <w:tcPr>
            <w:tcW w:w="3322" w:type="pct"/>
            <w:shd w:val="clear" w:color="auto" w:fill="70AD47" w:themeFill="accent6"/>
          </w:tcPr>
          <w:p w14:paraId="65E3014F" w14:textId="77777777" w:rsidR="00E85C1D" w:rsidRPr="00E85C1D" w:rsidRDefault="00E85C1D" w:rsidP="00E85C1D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FFFFFF"/>
                <w:sz w:val="20"/>
                <w:szCs w:val="20"/>
                <w:lang w:val="en-NZ"/>
              </w:rPr>
            </w:pPr>
            <w:r w:rsidRPr="00E85C1D">
              <w:rPr>
                <w:rFonts w:eastAsia="MS Mincho" w:cs="Arial"/>
                <w:color w:val="FFFFFF"/>
                <w:sz w:val="20"/>
                <w:szCs w:val="20"/>
                <w:lang w:val="en-NZ"/>
              </w:rPr>
              <w:t>Comments</w:t>
            </w:r>
          </w:p>
        </w:tc>
      </w:tr>
      <w:tr w:rsidR="00F96FA0" w:rsidRPr="00B63B4B" w14:paraId="452E1FB5" w14:textId="77777777" w:rsidTr="00A7450E">
        <w:tc>
          <w:tcPr>
            <w:tcW w:w="629" w:type="pct"/>
            <w:shd w:val="clear" w:color="auto" w:fill="auto"/>
          </w:tcPr>
          <w:p w14:paraId="733DB849" w14:textId="42006E86" w:rsidR="00E85C1D" w:rsidRPr="00E85C1D" w:rsidRDefault="00E85C1D" w:rsidP="00E85C1D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auto"/>
                <w:sz w:val="20"/>
                <w:szCs w:val="20"/>
                <w:lang w:val="en-AU"/>
              </w:rPr>
            </w:pPr>
            <w:r w:rsidRPr="00B63B4B">
              <w:rPr>
                <w:rFonts w:eastAsia="MS Mincho" w:cs="Arial"/>
                <w:color w:val="auto"/>
                <w:sz w:val="20"/>
                <w:szCs w:val="20"/>
                <w:lang w:val="en-AU"/>
              </w:rPr>
              <w:t>1.0</w:t>
            </w:r>
          </w:p>
        </w:tc>
        <w:tc>
          <w:tcPr>
            <w:tcW w:w="1049" w:type="pct"/>
            <w:shd w:val="clear" w:color="auto" w:fill="auto"/>
          </w:tcPr>
          <w:p w14:paraId="21D3B7CA" w14:textId="0AB8F88A" w:rsidR="00E85C1D" w:rsidRPr="00E85C1D" w:rsidRDefault="00B86CFA" w:rsidP="00E85C1D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auto"/>
                <w:sz w:val="20"/>
                <w:szCs w:val="20"/>
                <w:lang w:val="en-AU"/>
              </w:rPr>
            </w:pPr>
            <w:r w:rsidRPr="00B63B4B">
              <w:rPr>
                <w:rFonts w:eastAsia="MS Mincho" w:cs="Arial"/>
                <w:color w:val="auto"/>
                <w:sz w:val="20"/>
                <w:szCs w:val="20"/>
                <w:lang w:val="en-AU"/>
              </w:rPr>
              <w:t xml:space="preserve">7 </w:t>
            </w:r>
            <w:r w:rsidR="00E85C1D" w:rsidRPr="00E85C1D">
              <w:rPr>
                <w:rFonts w:eastAsia="MS Mincho" w:cs="Arial"/>
                <w:color w:val="auto"/>
                <w:sz w:val="20"/>
                <w:szCs w:val="20"/>
                <w:lang w:val="en-AU"/>
              </w:rPr>
              <w:t>J</w:t>
            </w:r>
            <w:r w:rsidRPr="00B63B4B">
              <w:rPr>
                <w:rFonts w:eastAsia="MS Mincho" w:cs="Arial"/>
                <w:color w:val="auto"/>
                <w:sz w:val="20"/>
                <w:szCs w:val="20"/>
                <w:lang w:val="en-AU"/>
              </w:rPr>
              <w:t>ul</w:t>
            </w:r>
            <w:r w:rsidR="00F96FA0" w:rsidRPr="00B63B4B">
              <w:rPr>
                <w:rFonts w:eastAsia="MS Mincho" w:cs="Arial"/>
                <w:color w:val="auto"/>
                <w:sz w:val="20"/>
                <w:szCs w:val="20"/>
                <w:lang w:val="en-AU"/>
              </w:rPr>
              <w:t>y</w:t>
            </w:r>
            <w:r w:rsidR="00E85C1D" w:rsidRPr="00E85C1D">
              <w:rPr>
                <w:rFonts w:eastAsia="MS Mincho" w:cs="Arial"/>
                <w:color w:val="auto"/>
                <w:sz w:val="20"/>
                <w:szCs w:val="20"/>
                <w:lang w:val="en-AU"/>
              </w:rPr>
              <w:t xml:space="preserve"> 2021</w:t>
            </w:r>
          </w:p>
        </w:tc>
        <w:tc>
          <w:tcPr>
            <w:tcW w:w="3322" w:type="pct"/>
            <w:shd w:val="clear" w:color="auto" w:fill="auto"/>
          </w:tcPr>
          <w:p w14:paraId="523E902E" w14:textId="5616C65C" w:rsidR="00E85C1D" w:rsidRPr="00E85C1D" w:rsidRDefault="00E85C1D" w:rsidP="00E85C1D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textboxTightWrap w:val="allLines"/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</w:pPr>
            <w:r w:rsidRPr="00E85C1D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>Draf</w:t>
            </w:r>
            <w:r w:rsidR="00F96FA0" w:rsidRPr="00B63B4B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 xml:space="preserve">t informed by </w:t>
            </w:r>
            <w:r w:rsidRPr="00E85C1D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 xml:space="preserve">Statewide HITH Working Group </w:t>
            </w:r>
            <w:r w:rsidR="00F96FA0" w:rsidRPr="00B63B4B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>feedback.</w:t>
            </w:r>
            <w:r w:rsidRPr="00E85C1D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 xml:space="preserve"> </w:t>
            </w:r>
          </w:p>
        </w:tc>
      </w:tr>
    </w:tbl>
    <w:p w14:paraId="3C98491F" w14:textId="514B92D5" w:rsidR="00A26780" w:rsidRPr="00B63B4B" w:rsidRDefault="00A26780" w:rsidP="00D81F3E">
      <w:pPr>
        <w:pStyle w:val="BodyText"/>
        <w:rPr>
          <w:sz w:val="20"/>
          <w:szCs w:val="20"/>
          <w:highlight w:val="yellow"/>
        </w:rPr>
      </w:pPr>
    </w:p>
    <w:p w14:paraId="0770B9D8" w14:textId="77777777" w:rsidR="00F96FA0" w:rsidRPr="00B63B4B" w:rsidRDefault="00F96FA0" w:rsidP="00D81F3E">
      <w:pPr>
        <w:pStyle w:val="BodyText"/>
        <w:rPr>
          <w:sz w:val="20"/>
          <w:szCs w:val="20"/>
          <w:highlight w:val="yellow"/>
        </w:rPr>
      </w:pPr>
    </w:p>
    <w:p w14:paraId="0243F1E5" w14:textId="4D337C92" w:rsidR="00F96FA0" w:rsidRPr="00A0163B" w:rsidRDefault="00F96FA0" w:rsidP="00A0163B">
      <w:pPr>
        <w:pStyle w:val="Heading2"/>
        <w:rPr>
          <w:rFonts w:eastAsiaTheme="minorHAnsi"/>
          <w:lang w:val="en-AU"/>
        </w:rPr>
      </w:pPr>
      <w:r w:rsidRPr="00A0163B">
        <w:rPr>
          <w:rFonts w:eastAsiaTheme="minorHAnsi"/>
          <w:lang w:val="en-AU"/>
        </w:rPr>
        <w:t>Document custodian</w:t>
      </w:r>
    </w:p>
    <w:tbl>
      <w:tblPr>
        <w:tblW w:w="4900" w:type="pct"/>
        <w:tblInd w:w="108" w:type="dxa"/>
        <w:tblBorders>
          <w:bottom w:val="single" w:sz="4" w:space="0" w:color="304F92"/>
          <w:insideH w:val="single" w:sz="4" w:space="0" w:color="304F92"/>
        </w:tblBorders>
        <w:tblLook w:val="01E0" w:firstRow="1" w:lastRow="1" w:firstColumn="1" w:lastColumn="1" w:noHBand="0" w:noVBand="0"/>
      </w:tblPr>
      <w:tblGrid>
        <w:gridCol w:w="1257"/>
        <w:gridCol w:w="2097"/>
        <w:gridCol w:w="6640"/>
      </w:tblGrid>
      <w:tr w:rsidR="00F96FA0" w:rsidRPr="00E85C1D" w14:paraId="3B9316D8" w14:textId="77777777" w:rsidTr="00A7450E">
        <w:trPr>
          <w:cantSplit/>
          <w:tblHeader/>
        </w:trPr>
        <w:tc>
          <w:tcPr>
            <w:tcW w:w="629" w:type="pct"/>
            <w:shd w:val="clear" w:color="auto" w:fill="70AD47" w:themeFill="accent6"/>
          </w:tcPr>
          <w:p w14:paraId="03A39CFC" w14:textId="2D8015F2" w:rsidR="00F96FA0" w:rsidRPr="00E85C1D" w:rsidRDefault="00F96FA0" w:rsidP="00A7450E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FFFFFF"/>
                <w:sz w:val="20"/>
                <w:szCs w:val="20"/>
                <w:lang w:val="en-NZ"/>
              </w:rPr>
            </w:pPr>
            <w:r w:rsidRPr="00B63B4B">
              <w:rPr>
                <w:rFonts w:eastAsia="MS Mincho" w:cs="Arial"/>
                <w:color w:val="FFFFFF"/>
                <w:sz w:val="20"/>
                <w:szCs w:val="20"/>
                <w:lang w:val="en-NZ"/>
              </w:rPr>
              <w:t xml:space="preserve">Date created </w:t>
            </w:r>
          </w:p>
        </w:tc>
        <w:tc>
          <w:tcPr>
            <w:tcW w:w="1049" w:type="pct"/>
            <w:shd w:val="clear" w:color="auto" w:fill="70AD47" w:themeFill="accent6"/>
          </w:tcPr>
          <w:p w14:paraId="36CA2B45" w14:textId="13B5B519" w:rsidR="00F96FA0" w:rsidRPr="00E85C1D" w:rsidRDefault="00F96FA0" w:rsidP="00A7450E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FFFFFF"/>
                <w:sz w:val="20"/>
                <w:szCs w:val="20"/>
                <w:lang w:val="en-NZ"/>
              </w:rPr>
            </w:pPr>
            <w:r w:rsidRPr="00B63B4B">
              <w:rPr>
                <w:rFonts w:eastAsia="MS Mincho" w:cs="Arial"/>
                <w:color w:val="FFFFFF"/>
                <w:sz w:val="20"/>
                <w:szCs w:val="20"/>
                <w:lang w:val="en-NZ"/>
              </w:rPr>
              <w:t>Author</w:t>
            </w:r>
          </w:p>
        </w:tc>
        <w:tc>
          <w:tcPr>
            <w:tcW w:w="3322" w:type="pct"/>
            <w:shd w:val="clear" w:color="auto" w:fill="70AD47" w:themeFill="accent6"/>
          </w:tcPr>
          <w:p w14:paraId="04EAB7A0" w14:textId="7F36D177" w:rsidR="00F96FA0" w:rsidRPr="00E85C1D" w:rsidRDefault="00F96FA0" w:rsidP="00A7450E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FFFFFF"/>
                <w:sz w:val="20"/>
                <w:szCs w:val="20"/>
                <w:lang w:val="en-NZ"/>
              </w:rPr>
            </w:pPr>
            <w:r w:rsidRPr="00E85C1D">
              <w:rPr>
                <w:rFonts w:eastAsia="MS Mincho" w:cs="Arial"/>
                <w:color w:val="FFFFFF"/>
                <w:sz w:val="20"/>
                <w:szCs w:val="20"/>
                <w:lang w:val="en-NZ"/>
              </w:rPr>
              <w:t>C</w:t>
            </w:r>
            <w:r w:rsidRPr="00B63B4B">
              <w:rPr>
                <w:rFonts w:eastAsia="MS Mincho" w:cs="Arial"/>
                <w:color w:val="FFFFFF"/>
                <w:sz w:val="20"/>
                <w:szCs w:val="20"/>
                <w:lang w:val="en-NZ"/>
              </w:rPr>
              <w:t>omments</w:t>
            </w:r>
          </w:p>
        </w:tc>
      </w:tr>
      <w:tr w:rsidR="00B63B4B" w:rsidRPr="00B63B4B" w14:paraId="2627080D" w14:textId="77777777" w:rsidTr="00A7450E">
        <w:tc>
          <w:tcPr>
            <w:tcW w:w="629" w:type="pct"/>
            <w:shd w:val="clear" w:color="auto" w:fill="auto"/>
          </w:tcPr>
          <w:p w14:paraId="14E02C45" w14:textId="6317E92E" w:rsidR="00F96FA0" w:rsidRPr="00E85C1D" w:rsidRDefault="00F96FA0" w:rsidP="00A7450E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auto"/>
                <w:sz w:val="20"/>
                <w:szCs w:val="20"/>
                <w:lang w:val="en-AU"/>
              </w:rPr>
            </w:pPr>
            <w:r w:rsidRPr="00B63B4B">
              <w:rPr>
                <w:rFonts w:eastAsia="MS Mincho" w:cs="Arial"/>
                <w:color w:val="auto"/>
                <w:sz w:val="20"/>
                <w:szCs w:val="20"/>
                <w:lang w:val="en-AU"/>
              </w:rPr>
              <w:t>15 June 2021</w:t>
            </w:r>
          </w:p>
        </w:tc>
        <w:tc>
          <w:tcPr>
            <w:tcW w:w="1049" w:type="pct"/>
            <w:shd w:val="clear" w:color="auto" w:fill="auto"/>
          </w:tcPr>
          <w:p w14:paraId="770F17B3" w14:textId="6B269686" w:rsidR="00F96FA0" w:rsidRPr="00E85C1D" w:rsidRDefault="00B63B4B" w:rsidP="00A7450E">
            <w:pPr>
              <w:widowControl/>
              <w:suppressAutoHyphens w:val="0"/>
              <w:autoSpaceDE/>
              <w:autoSpaceDN/>
              <w:adjustRightInd/>
              <w:spacing w:before="60" w:after="40" w:line="240" w:lineRule="auto"/>
              <w:textAlignment w:val="auto"/>
              <w:rPr>
                <w:rFonts w:eastAsia="MS Mincho" w:cs="Arial"/>
                <w:color w:val="auto"/>
                <w:sz w:val="20"/>
                <w:szCs w:val="20"/>
                <w:lang w:val="en-AU"/>
              </w:rPr>
            </w:pPr>
            <w:r w:rsidRPr="00B63B4B">
              <w:rPr>
                <w:rFonts w:eastAsia="MS Mincho" w:cs="Arial"/>
                <w:color w:val="auto"/>
                <w:sz w:val="20"/>
                <w:szCs w:val="20"/>
                <w:lang w:val="en-AU"/>
              </w:rPr>
              <w:t xml:space="preserve">Dr Theodore Chamberlain, Statewide HITH Clinical Lead, Clinical Excellence Queensland </w:t>
            </w:r>
          </w:p>
        </w:tc>
        <w:tc>
          <w:tcPr>
            <w:tcW w:w="3322" w:type="pct"/>
            <w:shd w:val="clear" w:color="auto" w:fill="auto"/>
          </w:tcPr>
          <w:p w14:paraId="190D168E" w14:textId="1D36E974" w:rsidR="00F96FA0" w:rsidRPr="00E85C1D" w:rsidRDefault="00F96FA0" w:rsidP="00A7450E">
            <w:pPr>
              <w:widowControl/>
              <w:suppressAutoHyphens w:val="0"/>
              <w:autoSpaceDE/>
              <w:autoSpaceDN/>
              <w:adjustRightInd/>
              <w:spacing w:before="120" w:after="120" w:line="276" w:lineRule="auto"/>
              <w:textAlignment w:val="auto"/>
              <w:textboxTightWrap w:val="allLines"/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</w:pPr>
            <w:r w:rsidRPr="00E85C1D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>Draf</w:t>
            </w:r>
            <w:r w:rsidR="00B63B4B" w:rsidRPr="00B63B4B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>t developed to assist public Statewide HITH services</w:t>
            </w:r>
            <w:r w:rsidR="00B63B4B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 xml:space="preserve"> with Senior Medical Officer recruitment as required under Care4Qld Strategy 2021-2024</w:t>
            </w:r>
            <w:r w:rsidR="00B63B4B" w:rsidRPr="00B63B4B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 xml:space="preserve"> </w:t>
            </w:r>
            <w:r w:rsidRPr="00E85C1D">
              <w:rPr>
                <w:rFonts w:eastAsia="Calibri" w:cs="Arial"/>
                <w:i/>
                <w:color w:val="auto"/>
                <w:kern w:val="21"/>
                <w:sz w:val="20"/>
                <w:szCs w:val="20"/>
                <w:lang w:val="en-AU"/>
                <w14:numSpacing w14:val="proportional"/>
              </w:rPr>
              <w:t xml:space="preserve"> </w:t>
            </w:r>
          </w:p>
        </w:tc>
      </w:tr>
    </w:tbl>
    <w:p w14:paraId="05F838A3" w14:textId="77777777" w:rsidR="00F96FA0" w:rsidRDefault="00F96FA0" w:rsidP="00D81F3E">
      <w:pPr>
        <w:pStyle w:val="BodyText"/>
        <w:rPr>
          <w:highlight w:val="yellow"/>
        </w:rPr>
      </w:pPr>
    </w:p>
    <w:p w14:paraId="579AF26C" w14:textId="77777777" w:rsidR="00F96FA0" w:rsidRDefault="00F96FA0" w:rsidP="00D81F3E">
      <w:pPr>
        <w:pStyle w:val="BodyText"/>
        <w:rPr>
          <w:highlight w:val="yellow"/>
        </w:rPr>
      </w:pPr>
    </w:p>
    <w:p w14:paraId="006E3E75" w14:textId="77777777" w:rsidR="00F96FA0" w:rsidRDefault="00F96FA0" w:rsidP="00D81F3E">
      <w:pPr>
        <w:pStyle w:val="BodyText"/>
        <w:rPr>
          <w:highlight w:val="yellow"/>
        </w:rPr>
      </w:pPr>
    </w:p>
    <w:p w14:paraId="0AC03AAD" w14:textId="34073D3F" w:rsidR="00A26780" w:rsidRDefault="00A26780" w:rsidP="00D81F3E">
      <w:pPr>
        <w:pStyle w:val="BodyText"/>
      </w:pPr>
    </w:p>
    <w:p w14:paraId="14C56E69" w14:textId="77777777" w:rsidR="00A26780" w:rsidRPr="007152AF" w:rsidRDefault="00A26780" w:rsidP="00D81F3E">
      <w:pPr>
        <w:pStyle w:val="BodyText"/>
      </w:pPr>
    </w:p>
    <w:sectPr w:rsidR="00A26780" w:rsidRPr="007152AF" w:rsidSect="00084F05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2A46" w14:textId="77777777" w:rsidR="00041431" w:rsidRDefault="00041431" w:rsidP="008B6886">
      <w:pPr>
        <w:spacing w:after="0" w:line="240" w:lineRule="auto"/>
      </w:pPr>
      <w:r>
        <w:separator/>
      </w:r>
    </w:p>
  </w:endnote>
  <w:endnote w:type="continuationSeparator" w:id="0">
    <w:p w14:paraId="5812FBED" w14:textId="77777777" w:rsidR="00041431" w:rsidRDefault="00041431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20B08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9BAD" w14:textId="77777777" w:rsidR="00D777DB" w:rsidRDefault="00D777DB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F0AE81" wp14:editId="1A636B73">
          <wp:simplePos x="0" y="0"/>
          <wp:positionH relativeFrom="page">
            <wp:align>right</wp:align>
          </wp:positionH>
          <wp:positionV relativeFrom="paragraph">
            <wp:posOffset>467308</wp:posOffset>
          </wp:positionV>
          <wp:extent cx="7538085" cy="474074"/>
          <wp:effectExtent l="0" t="0" r="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47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31DD36C" wp14:editId="5A44BC5C">
          <wp:simplePos x="0" y="0"/>
          <wp:positionH relativeFrom="column">
            <wp:posOffset>6123940</wp:posOffset>
          </wp:positionH>
          <wp:positionV relativeFrom="paragraph">
            <wp:posOffset>-413385</wp:posOffset>
          </wp:positionV>
          <wp:extent cx="588645" cy="747395"/>
          <wp:effectExtent l="0" t="0" r="0" b="0"/>
          <wp:wrapNone/>
          <wp:docPr id="2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D777DB" w:rsidRPr="0051320B" w14:paraId="1F4FA909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86D0240" w14:textId="77777777" w:rsidR="00D777DB" w:rsidRPr="0051320B" w:rsidRDefault="00D777DB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FFFFFF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18FC3A27" w14:textId="77777777" w:rsidR="00D777DB" w:rsidRPr="0051320B" w:rsidRDefault="00D777DB" w:rsidP="00084F05">
          <w:pPr>
            <w:pStyle w:val="Footer"/>
            <w:jc w:val="right"/>
            <w:rPr>
              <w:b/>
              <w:color w:val="FFFFFF"/>
            </w:rPr>
          </w:pPr>
        </w:p>
      </w:tc>
    </w:tr>
  </w:tbl>
  <w:p w14:paraId="4E1480F5" w14:textId="65327F02" w:rsidR="00D777DB" w:rsidRDefault="00D777DB" w:rsidP="00084F05">
    <w:pPr>
      <w:pStyle w:val="Footer"/>
      <w:tabs>
        <w:tab w:val="clear" w:pos="8640"/>
        <w:tab w:val="right" w:pos="9785"/>
      </w:tabs>
      <w:jc w:val="right"/>
      <w:rPr>
        <w:b/>
        <w:color w:val="246860"/>
      </w:rPr>
    </w:pPr>
    <w:r>
      <w:rPr>
        <w:b/>
        <w:color w:val="246860"/>
      </w:rPr>
      <w:fldChar w:fldCharType="begin"/>
    </w:r>
    <w:r>
      <w:rPr>
        <w:b/>
        <w:color w:val="246860"/>
      </w:rPr>
      <w:instrText xml:space="preserve"> STYLEREF  Title  \* MERGEFORMAT </w:instrText>
    </w:r>
    <w:r>
      <w:rPr>
        <w:b/>
        <w:color w:val="246860"/>
      </w:rPr>
      <w:fldChar w:fldCharType="separate"/>
    </w:r>
    <w:r w:rsidR="00373913">
      <w:rPr>
        <w:b/>
        <w:noProof/>
        <w:color w:val="246860"/>
      </w:rPr>
      <w:t>Hospital in the Home (HITH)</w:t>
    </w:r>
    <w:r>
      <w:rPr>
        <w:b/>
        <w:color w:val="246860"/>
      </w:rPr>
      <w:fldChar w:fldCharType="end"/>
    </w:r>
    <w:r>
      <w:rPr>
        <w:b/>
        <w:color w:val="246860"/>
      </w:rPr>
      <w:t xml:space="preserve"> - </w:t>
    </w:r>
    <w:r>
      <w:rPr>
        <w:b/>
        <w:color w:val="246860"/>
      </w:rPr>
      <w:fldChar w:fldCharType="begin"/>
    </w:r>
    <w:r>
      <w:rPr>
        <w:b/>
        <w:color w:val="246860"/>
      </w:rPr>
      <w:instrText xml:space="preserve"> PAGE </w:instrText>
    </w:r>
    <w:r>
      <w:rPr>
        <w:b/>
        <w:color w:val="246860"/>
      </w:rPr>
      <w:fldChar w:fldCharType="separate"/>
    </w:r>
    <w:r>
      <w:rPr>
        <w:b/>
        <w:noProof/>
        <w:color w:val="246860"/>
      </w:rPr>
      <w:t>9</w:t>
    </w:r>
    <w:r>
      <w:rPr>
        <w:b/>
        <w:color w:val="246860"/>
      </w:rPr>
      <w:fldChar w:fldCharType="end"/>
    </w:r>
    <w:r>
      <w:rPr>
        <w:b/>
        <w:color w:val="246860"/>
      </w:rPr>
      <w:t xml:space="preserve"> -</w:t>
    </w:r>
  </w:p>
  <w:p w14:paraId="03A403CF" w14:textId="77777777" w:rsidR="00D777DB" w:rsidRDefault="00D777DB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D289" w14:textId="77777777" w:rsidR="00041431" w:rsidRDefault="00041431" w:rsidP="008B6886">
      <w:pPr>
        <w:spacing w:after="0" w:line="240" w:lineRule="auto"/>
      </w:pPr>
      <w:r>
        <w:separator/>
      </w:r>
    </w:p>
  </w:footnote>
  <w:footnote w:type="continuationSeparator" w:id="0">
    <w:p w14:paraId="2EF442CE" w14:textId="77777777" w:rsidR="00041431" w:rsidRDefault="00041431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04BD" w14:textId="0B16B7B6" w:rsidR="00D777DB" w:rsidRDefault="00041431">
    <w:pPr>
      <w:pStyle w:val="Header"/>
    </w:pPr>
    <w:r>
      <w:rPr>
        <w:noProof/>
      </w:rPr>
      <w:pict w14:anchorId="678C4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032" o:spid="_x0000_s2052" type="#_x0000_t136" style="position:absolute;margin-left:0;margin-top:0;width:559.15pt;height:159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703B" w14:textId="1F21A1C3" w:rsidR="00D777DB" w:rsidRDefault="00041431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pict w14:anchorId="539F3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033" o:spid="_x0000_s2053" type="#_x0000_t136" style="position:absolute;margin-left:0;margin-top:0;width:559.15pt;height:159.7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D777DB">
      <w:rPr>
        <w:noProof/>
      </w:rPr>
      <w:drawing>
        <wp:anchor distT="0" distB="0" distL="114300" distR="114300" simplePos="0" relativeHeight="251656704" behindDoc="0" locked="0" layoutInCell="1" allowOverlap="1" wp14:anchorId="59B3CC89" wp14:editId="61BA94D6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0" cy="1520618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0" cy="152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7DB">
      <w:rPr>
        <w:noProof/>
        <w:lang w:val="en-AU" w:eastAsia="en-AU"/>
      </w:rPr>
      <w:drawing>
        <wp:anchor distT="0" distB="0" distL="114300" distR="114300" simplePos="0" relativeHeight="251654656" behindDoc="1" locked="0" layoutInCell="1" allowOverlap="1" wp14:anchorId="4DECB341" wp14:editId="0CA59278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FE81" w14:textId="0A40ECDA" w:rsidR="00D777DB" w:rsidRDefault="00041431">
    <w:pPr>
      <w:pStyle w:val="Header"/>
    </w:pPr>
    <w:r>
      <w:rPr>
        <w:noProof/>
      </w:rPr>
      <w:pict w14:anchorId="1028D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031" o:spid="_x0000_s2051" type="#_x0000_t136" style="position:absolute;margin-left:0;margin-top:0;width:559.15pt;height:159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8175" w14:textId="10D96D20" w:rsidR="00E85C1D" w:rsidRDefault="00041431">
    <w:pPr>
      <w:pStyle w:val="Header"/>
    </w:pPr>
    <w:r>
      <w:rPr>
        <w:noProof/>
      </w:rPr>
      <w:pict w14:anchorId="7BCA0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035" o:spid="_x0000_s2055" type="#_x0000_t136" style="position:absolute;margin-left:0;margin-top:0;width:559.15pt;height:159.7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B2CC" w14:textId="3EEC76C8" w:rsidR="00D777DB" w:rsidRDefault="00041431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pict w14:anchorId="7B7B0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036" o:spid="_x0000_s2056" type="#_x0000_t136" style="position:absolute;margin-left:0;margin-top:0;width:559.15pt;height:159.7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D777DB"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19FB0571" wp14:editId="4E0C88BB">
          <wp:simplePos x="0" y="0"/>
          <wp:positionH relativeFrom="column">
            <wp:posOffset>-587682</wp:posOffset>
          </wp:positionH>
          <wp:positionV relativeFrom="paragraph">
            <wp:posOffset>-457200</wp:posOffset>
          </wp:positionV>
          <wp:extent cx="7607933" cy="470535"/>
          <wp:effectExtent l="0" t="0" r="0" b="571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110" cy="4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7DB"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51E64F1D" wp14:editId="0B75FBEE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17549" w14:textId="497E6F5C" w:rsidR="00E85C1D" w:rsidRDefault="00041431">
    <w:pPr>
      <w:pStyle w:val="Header"/>
    </w:pPr>
    <w:r>
      <w:rPr>
        <w:noProof/>
      </w:rPr>
      <w:pict w14:anchorId="25C9C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2034" o:spid="_x0000_s2054" type="#_x0000_t136" style="position:absolute;margin-left:0;margin-top:0;width:559.15pt;height:159.7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1FC4C99"/>
    <w:multiLevelType w:val="hybridMultilevel"/>
    <w:tmpl w:val="BBF2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E400EB"/>
    <w:multiLevelType w:val="hybridMultilevel"/>
    <w:tmpl w:val="0D6C62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3908A9"/>
    <w:multiLevelType w:val="hybridMultilevel"/>
    <w:tmpl w:val="D29C6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2A5E"/>
    <w:multiLevelType w:val="hybridMultilevel"/>
    <w:tmpl w:val="44BAE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E7241"/>
    <w:multiLevelType w:val="hybridMultilevel"/>
    <w:tmpl w:val="F29A8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72BE"/>
    <w:multiLevelType w:val="hybridMultilevel"/>
    <w:tmpl w:val="48B25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6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3C8161A2"/>
    <w:multiLevelType w:val="hybridMultilevel"/>
    <w:tmpl w:val="6CC41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76520B9"/>
    <w:multiLevelType w:val="hybridMultilevel"/>
    <w:tmpl w:val="1BDAD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2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3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4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5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9"/>
  </w:num>
  <w:num w:numId="11">
    <w:abstractNumId w:val="27"/>
  </w:num>
  <w:num w:numId="12">
    <w:abstractNumId w:val="25"/>
  </w:num>
  <w:num w:numId="13">
    <w:abstractNumId w:val="18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0"/>
  </w:num>
  <w:num w:numId="26">
    <w:abstractNumId w:val="21"/>
  </w:num>
  <w:num w:numId="27">
    <w:abstractNumId w:val="16"/>
  </w:num>
  <w:num w:numId="28">
    <w:abstractNumId w:val="23"/>
  </w:num>
  <w:num w:numId="29">
    <w:abstractNumId w:val="23"/>
  </w:num>
  <w:num w:numId="30">
    <w:abstractNumId w:val="23"/>
  </w:num>
  <w:num w:numId="31">
    <w:abstractNumId w:val="11"/>
  </w:num>
  <w:num w:numId="32">
    <w:abstractNumId w:val="19"/>
  </w:num>
  <w:num w:numId="33">
    <w:abstractNumId w:val="8"/>
  </w:num>
  <w:num w:numId="34">
    <w:abstractNumId w:val="17"/>
  </w:num>
  <w:num w:numId="35">
    <w:abstractNumId w:val="12"/>
  </w:num>
  <w:num w:numId="36">
    <w:abstractNumId w:val="14"/>
  </w:num>
  <w:num w:numId="37">
    <w:abstractNumId w:val="13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3443"/>
    <w:rsid w:val="00020E09"/>
    <w:rsid w:val="000216FE"/>
    <w:rsid w:val="00041431"/>
    <w:rsid w:val="00045D0B"/>
    <w:rsid w:val="000754ED"/>
    <w:rsid w:val="0008016F"/>
    <w:rsid w:val="00084F05"/>
    <w:rsid w:val="000873BC"/>
    <w:rsid w:val="00095420"/>
    <w:rsid w:val="000961FB"/>
    <w:rsid w:val="00097FE2"/>
    <w:rsid w:val="000A0941"/>
    <w:rsid w:val="000B3F97"/>
    <w:rsid w:val="000B4030"/>
    <w:rsid w:val="000B5115"/>
    <w:rsid w:val="000C264F"/>
    <w:rsid w:val="000D1829"/>
    <w:rsid w:val="000D5010"/>
    <w:rsid w:val="000E6816"/>
    <w:rsid w:val="000F1EEE"/>
    <w:rsid w:val="00101E70"/>
    <w:rsid w:val="001022DE"/>
    <w:rsid w:val="00103BC8"/>
    <w:rsid w:val="00135120"/>
    <w:rsid w:val="00135493"/>
    <w:rsid w:val="00147EA5"/>
    <w:rsid w:val="00152F75"/>
    <w:rsid w:val="00154853"/>
    <w:rsid w:val="001557B5"/>
    <w:rsid w:val="00160612"/>
    <w:rsid w:val="00164851"/>
    <w:rsid w:val="00184988"/>
    <w:rsid w:val="001917D7"/>
    <w:rsid w:val="001A3FC2"/>
    <w:rsid w:val="001A705D"/>
    <w:rsid w:val="001B7BA0"/>
    <w:rsid w:val="001C50E7"/>
    <w:rsid w:val="001D3B55"/>
    <w:rsid w:val="001D505F"/>
    <w:rsid w:val="001D6D47"/>
    <w:rsid w:val="001F6FDE"/>
    <w:rsid w:val="00202CBA"/>
    <w:rsid w:val="00203BBD"/>
    <w:rsid w:val="00206B9D"/>
    <w:rsid w:val="002078F4"/>
    <w:rsid w:val="002150F0"/>
    <w:rsid w:val="002273F8"/>
    <w:rsid w:val="00232998"/>
    <w:rsid w:val="00233C08"/>
    <w:rsid w:val="002363EA"/>
    <w:rsid w:val="00237710"/>
    <w:rsid w:val="002421B3"/>
    <w:rsid w:val="00242AB5"/>
    <w:rsid w:val="002452EB"/>
    <w:rsid w:val="00256524"/>
    <w:rsid w:val="00262439"/>
    <w:rsid w:val="00270A51"/>
    <w:rsid w:val="00273977"/>
    <w:rsid w:val="00292379"/>
    <w:rsid w:val="002A0AC3"/>
    <w:rsid w:val="002A18C7"/>
    <w:rsid w:val="002B2FA9"/>
    <w:rsid w:val="002B6C2D"/>
    <w:rsid w:val="002C34B6"/>
    <w:rsid w:val="002D475E"/>
    <w:rsid w:val="002D7944"/>
    <w:rsid w:val="002E7893"/>
    <w:rsid w:val="002F282F"/>
    <w:rsid w:val="002F4DC8"/>
    <w:rsid w:val="00304D37"/>
    <w:rsid w:val="00310F40"/>
    <w:rsid w:val="00311A96"/>
    <w:rsid w:val="00321A81"/>
    <w:rsid w:val="00323815"/>
    <w:rsid w:val="00331C98"/>
    <w:rsid w:val="00340F00"/>
    <w:rsid w:val="00344EBA"/>
    <w:rsid w:val="00346726"/>
    <w:rsid w:val="00361C7F"/>
    <w:rsid w:val="00373913"/>
    <w:rsid w:val="0039465B"/>
    <w:rsid w:val="003A7B9A"/>
    <w:rsid w:val="003B3059"/>
    <w:rsid w:val="003B490B"/>
    <w:rsid w:val="003B69C4"/>
    <w:rsid w:val="003C758B"/>
    <w:rsid w:val="003E4F4A"/>
    <w:rsid w:val="003F432E"/>
    <w:rsid w:val="004114B9"/>
    <w:rsid w:val="00415B83"/>
    <w:rsid w:val="0041727A"/>
    <w:rsid w:val="00420197"/>
    <w:rsid w:val="00430FFC"/>
    <w:rsid w:val="004321C8"/>
    <w:rsid w:val="00453F22"/>
    <w:rsid w:val="00456773"/>
    <w:rsid w:val="00460443"/>
    <w:rsid w:val="00473420"/>
    <w:rsid w:val="00474C78"/>
    <w:rsid w:val="004855B8"/>
    <w:rsid w:val="00492CA1"/>
    <w:rsid w:val="00493844"/>
    <w:rsid w:val="004A39D7"/>
    <w:rsid w:val="004B54AD"/>
    <w:rsid w:val="004D49BA"/>
    <w:rsid w:val="004D5176"/>
    <w:rsid w:val="004F6A2F"/>
    <w:rsid w:val="00501448"/>
    <w:rsid w:val="00501E37"/>
    <w:rsid w:val="0051320B"/>
    <w:rsid w:val="00514930"/>
    <w:rsid w:val="0055694D"/>
    <w:rsid w:val="00557170"/>
    <w:rsid w:val="005606E8"/>
    <w:rsid w:val="00565B75"/>
    <w:rsid w:val="00586AC6"/>
    <w:rsid w:val="005A330C"/>
    <w:rsid w:val="005C406A"/>
    <w:rsid w:val="005D5142"/>
    <w:rsid w:val="005E2CD7"/>
    <w:rsid w:val="005E34D6"/>
    <w:rsid w:val="005F4576"/>
    <w:rsid w:val="00605276"/>
    <w:rsid w:val="00606543"/>
    <w:rsid w:val="00613804"/>
    <w:rsid w:val="00614698"/>
    <w:rsid w:val="00620433"/>
    <w:rsid w:val="00630B52"/>
    <w:rsid w:val="006346F7"/>
    <w:rsid w:val="00645E96"/>
    <w:rsid w:val="00646352"/>
    <w:rsid w:val="00650C60"/>
    <w:rsid w:val="00664E19"/>
    <w:rsid w:val="006672F4"/>
    <w:rsid w:val="00671C32"/>
    <w:rsid w:val="0067556F"/>
    <w:rsid w:val="00680B76"/>
    <w:rsid w:val="006810CA"/>
    <w:rsid w:val="00690B2C"/>
    <w:rsid w:val="0069688F"/>
    <w:rsid w:val="006B0493"/>
    <w:rsid w:val="006D36EC"/>
    <w:rsid w:val="006D70B7"/>
    <w:rsid w:val="006E48A2"/>
    <w:rsid w:val="006F02CB"/>
    <w:rsid w:val="006F66C7"/>
    <w:rsid w:val="006F76F9"/>
    <w:rsid w:val="00705ACB"/>
    <w:rsid w:val="00713E74"/>
    <w:rsid w:val="007152AF"/>
    <w:rsid w:val="007161E6"/>
    <w:rsid w:val="00736D37"/>
    <w:rsid w:val="00746518"/>
    <w:rsid w:val="00773C5A"/>
    <w:rsid w:val="00791B47"/>
    <w:rsid w:val="00794D73"/>
    <w:rsid w:val="00795229"/>
    <w:rsid w:val="007A612E"/>
    <w:rsid w:val="007B0AC6"/>
    <w:rsid w:val="007C465F"/>
    <w:rsid w:val="007C7F3E"/>
    <w:rsid w:val="007D0A2F"/>
    <w:rsid w:val="007D4505"/>
    <w:rsid w:val="007D6A79"/>
    <w:rsid w:val="007D749D"/>
    <w:rsid w:val="007E16E5"/>
    <w:rsid w:val="007E2DA9"/>
    <w:rsid w:val="007F51AF"/>
    <w:rsid w:val="0081388D"/>
    <w:rsid w:val="0081634A"/>
    <w:rsid w:val="00844910"/>
    <w:rsid w:val="008455D6"/>
    <w:rsid w:val="0085266B"/>
    <w:rsid w:val="00856A42"/>
    <w:rsid w:val="0086091A"/>
    <w:rsid w:val="008663CE"/>
    <w:rsid w:val="00884631"/>
    <w:rsid w:val="00886642"/>
    <w:rsid w:val="00893550"/>
    <w:rsid w:val="00895B1A"/>
    <w:rsid w:val="008A040C"/>
    <w:rsid w:val="008A6785"/>
    <w:rsid w:val="008B6886"/>
    <w:rsid w:val="008E518D"/>
    <w:rsid w:val="008F5118"/>
    <w:rsid w:val="008F5339"/>
    <w:rsid w:val="00907F4E"/>
    <w:rsid w:val="00910FFE"/>
    <w:rsid w:val="00930510"/>
    <w:rsid w:val="0093352B"/>
    <w:rsid w:val="00941778"/>
    <w:rsid w:val="0094683D"/>
    <w:rsid w:val="00956A41"/>
    <w:rsid w:val="00965CE2"/>
    <w:rsid w:val="009804EA"/>
    <w:rsid w:val="009805C1"/>
    <w:rsid w:val="00980CFD"/>
    <w:rsid w:val="00993010"/>
    <w:rsid w:val="009930D5"/>
    <w:rsid w:val="00994E8F"/>
    <w:rsid w:val="009A0A70"/>
    <w:rsid w:val="009A5B28"/>
    <w:rsid w:val="009B7399"/>
    <w:rsid w:val="009C7014"/>
    <w:rsid w:val="009E4755"/>
    <w:rsid w:val="009F09A1"/>
    <w:rsid w:val="00A0163B"/>
    <w:rsid w:val="00A14D81"/>
    <w:rsid w:val="00A236D1"/>
    <w:rsid w:val="00A2403A"/>
    <w:rsid w:val="00A25299"/>
    <w:rsid w:val="00A26780"/>
    <w:rsid w:val="00A30046"/>
    <w:rsid w:val="00A30557"/>
    <w:rsid w:val="00A3073F"/>
    <w:rsid w:val="00A345A3"/>
    <w:rsid w:val="00A35A86"/>
    <w:rsid w:val="00A4462B"/>
    <w:rsid w:val="00A47AF1"/>
    <w:rsid w:val="00A53CF0"/>
    <w:rsid w:val="00A607FE"/>
    <w:rsid w:val="00A63A9B"/>
    <w:rsid w:val="00A65E7C"/>
    <w:rsid w:val="00A66C5A"/>
    <w:rsid w:val="00A67C39"/>
    <w:rsid w:val="00A82612"/>
    <w:rsid w:val="00A84C39"/>
    <w:rsid w:val="00A91A36"/>
    <w:rsid w:val="00A96995"/>
    <w:rsid w:val="00A97158"/>
    <w:rsid w:val="00AB1F68"/>
    <w:rsid w:val="00AB68FC"/>
    <w:rsid w:val="00AD3A83"/>
    <w:rsid w:val="00AE54F6"/>
    <w:rsid w:val="00AF1FD1"/>
    <w:rsid w:val="00AF561A"/>
    <w:rsid w:val="00AF7F4F"/>
    <w:rsid w:val="00B02814"/>
    <w:rsid w:val="00B17D35"/>
    <w:rsid w:val="00B221CC"/>
    <w:rsid w:val="00B2265B"/>
    <w:rsid w:val="00B2799D"/>
    <w:rsid w:val="00B3081F"/>
    <w:rsid w:val="00B30A41"/>
    <w:rsid w:val="00B563E6"/>
    <w:rsid w:val="00B6137E"/>
    <w:rsid w:val="00B63664"/>
    <w:rsid w:val="00B63B4B"/>
    <w:rsid w:val="00B654F7"/>
    <w:rsid w:val="00B8047E"/>
    <w:rsid w:val="00B86CFA"/>
    <w:rsid w:val="00B921CA"/>
    <w:rsid w:val="00B92C18"/>
    <w:rsid w:val="00B967F7"/>
    <w:rsid w:val="00B96EAB"/>
    <w:rsid w:val="00BB1B63"/>
    <w:rsid w:val="00BB245F"/>
    <w:rsid w:val="00BC511A"/>
    <w:rsid w:val="00BD43C9"/>
    <w:rsid w:val="00BD49FF"/>
    <w:rsid w:val="00BD4C2A"/>
    <w:rsid w:val="00BE3200"/>
    <w:rsid w:val="00BE33C4"/>
    <w:rsid w:val="00BE39CC"/>
    <w:rsid w:val="00BF55A8"/>
    <w:rsid w:val="00C0228D"/>
    <w:rsid w:val="00C033A1"/>
    <w:rsid w:val="00C130CF"/>
    <w:rsid w:val="00C225A8"/>
    <w:rsid w:val="00C33B44"/>
    <w:rsid w:val="00C37BF0"/>
    <w:rsid w:val="00C4309D"/>
    <w:rsid w:val="00C53FB0"/>
    <w:rsid w:val="00C574A6"/>
    <w:rsid w:val="00C57AE0"/>
    <w:rsid w:val="00C766EA"/>
    <w:rsid w:val="00C821EC"/>
    <w:rsid w:val="00C86747"/>
    <w:rsid w:val="00CA7DD2"/>
    <w:rsid w:val="00CB3651"/>
    <w:rsid w:val="00CC0469"/>
    <w:rsid w:val="00CC4D2C"/>
    <w:rsid w:val="00CD03F8"/>
    <w:rsid w:val="00CD55BB"/>
    <w:rsid w:val="00CE2E66"/>
    <w:rsid w:val="00CF51B7"/>
    <w:rsid w:val="00D04A96"/>
    <w:rsid w:val="00D15990"/>
    <w:rsid w:val="00D22F1D"/>
    <w:rsid w:val="00D354B3"/>
    <w:rsid w:val="00D454D0"/>
    <w:rsid w:val="00D541C1"/>
    <w:rsid w:val="00D764FF"/>
    <w:rsid w:val="00D777DB"/>
    <w:rsid w:val="00D81F3E"/>
    <w:rsid w:val="00D869C7"/>
    <w:rsid w:val="00D875BE"/>
    <w:rsid w:val="00DA3E0E"/>
    <w:rsid w:val="00DB79A2"/>
    <w:rsid w:val="00DD2B06"/>
    <w:rsid w:val="00DD3010"/>
    <w:rsid w:val="00DD502C"/>
    <w:rsid w:val="00DF2376"/>
    <w:rsid w:val="00DF2B5A"/>
    <w:rsid w:val="00DF5866"/>
    <w:rsid w:val="00E219B5"/>
    <w:rsid w:val="00E247CC"/>
    <w:rsid w:val="00E33E8B"/>
    <w:rsid w:val="00E361EC"/>
    <w:rsid w:val="00E403F3"/>
    <w:rsid w:val="00E44AF6"/>
    <w:rsid w:val="00E50E8C"/>
    <w:rsid w:val="00E63085"/>
    <w:rsid w:val="00E64CEE"/>
    <w:rsid w:val="00E6610F"/>
    <w:rsid w:val="00E67DB2"/>
    <w:rsid w:val="00E71D47"/>
    <w:rsid w:val="00E85C1D"/>
    <w:rsid w:val="00E913CE"/>
    <w:rsid w:val="00EA3D34"/>
    <w:rsid w:val="00EB7F48"/>
    <w:rsid w:val="00EC2B21"/>
    <w:rsid w:val="00EC6059"/>
    <w:rsid w:val="00F00A65"/>
    <w:rsid w:val="00F02B41"/>
    <w:rsid w:val="00F14757"/>
    <w:rsid w:val="00F17B86"/>
    <w:rsid w:val="00F215BB"/>
    <w:rsid w:val="00F25F76"/>
    <w:rsid w:val="00F27EA7"/>
    <w:rsid w:val="00F44142"/>
    <w:rsid w:val="00F6472C"/>
    <w:rsid w:val="00F852CB"/>
    <w:rsid w:val="00F95EDF"/>
    <w:rsid w:val="00F96FA0"/>
    <w:rsid w:val="00FA2E0B"/>
    <w:rsid w:val="00FB6B96"/>
    <w:rsid w:val="00FD043B"/>
    <w:rsid w:val="00FD167D"/>
    <w:rsid w:val="00FE7F90"/>
    <w:rsid w:val="00FF0BFF"/>
    <w:rsid w:val="00FF0D1E"/>
    <w:rsid w:val="00FF5C27"/>
    <w:rsid w:val="0597E3A6"/>
    <w:rsid w:val="0733B407"/>
    <w:rsid w:val="08CF8468"/>
    <w:rsid w:val="098160B1"/>
    <w:rsid w:val="0AAF1CC8"/>
    <w:rsid w:val="122F6408"/>
    <w:rsid w:val="21B22C50"/>
    <w:rsid w:val="223310F2"/>
    <w:rsid w:val="2403EBF2"/>
    <w:rsid w:val="26859D73"/>
    <w:rsid w:val="273B8CB4"/>
    <w:rsid w:val="2E81D261"/>
    <w:rsid w:val="312042AC"/>
    <w:rsid w:val="3372024E"/>
    <w:rsid w:val="339C05B0"/>
    <w:rsid w:val="3BEB8456"/>
    <w:rsid w:val="4E609F03"/>
    <w:rsid w:val="4EABBC15"/>
    <w:rsid w:val="5860802E"/>
    <w:rsid w:val="5A715FBF"/>
    <w:rsid w:val="68A1439A"/>
    <w:rsid w:val="69347FC4"/>
    <w:rsid w:val="74F7207E"/>
    <w:rsid w:val="7EF8AF47"/>
    <w:rsid w:val="7FF5C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B280658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List Number 5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54ED"/>
    <w:pPr>
      <w:outlineLvl w:val="0"/>
    </w:pPr>
    <w:rPr>
      <w:rFonts w:ascii="Arial" w:eastAsia="Times New Roman" w:hAnsi="Arial" w:cs="Times New Roman"/>
      <w:b/>
      <w:bCs/>
      <w:color w:val="246860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565B75"/>
    <w:pPr>
      <w:spacing w:after="120" w:line="240" w:lineRule="auto"/>
      <w:outlineLvl w:val="1"/>
    </w:pPr>
    <w:rPr>
      <w:rFonts w:ascii="Arial" w:eastAsia="Times New Roman" w:hAnsi="Arial" w:cs="Times New Roman"/>
      <w:b/>
      <w:color w:val="85C446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uiPriority w:val="99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565B75"/>
    <w:rPr>
      <w:rFonts w:ascii="Arial" w:eastAsia="Times New Roman" w:hAnsi="Arial"/>
      <w:b/>
      <w:color w:val="85C446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54ED"/>
    <w:rPr>
      <w:rFonts w:ascii="Arial" w:hAnsi="Arial"/>
      <w:b/>
      <w:bCs/>
      <w:color w:val="246860"/>
      <w:sz w:val="36"/>
      <w:szCs w:val="60"/>
      <w:lang w:val="en-US" w:eastAsia="en-US" w:bidi="ar-SA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uiPriority w:val="99"/>
    <w:rsid w:val="00C0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3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3A1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33A1"/>
    <w:rPr>
      <w:rFonts w:ascii="Arial" w:hAnsi="Arial" w:cs="MetaOT-Normal"/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BE3200"/>
    <w:rPr>
      <w:rFonts w:ascii="Arial" w:hAnsi="Arial" w:cs="MetaOT-Normal"/>
      <w:color w:val="000000"/>
      <w:sz w:val="22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04D38D4EC840B543C5D5A219C64E" ma:contentTypeVersion="8" ma:contentTypeDescription="Create a new document." ma:contentTypeScope="" ma:versionID="8adcdf24e9a4f23ce8d02dc800874454">
  <xsd:schema xmlns:xsd="http://www.w3.org/2001/XMLSchema" xmlns:xs="http://www.w3.org/2001/XMLSchema" xmlns:p="http://schemas.microsoft.com/office/2006/metadata/properties" xmlns:ns3="7795ca9a-296e-49cc-94be-0a725b1a71e0" targetNamespace="http://schemas.microsoft.com/office/2006/metadata/properties" ma:root="true" ma:fieldsID="7e2c9f094affbed4fdefe62c9c89f992" ns3:_="">
    <xsd:import namespace="7795ca9a-296e-49cc-94be-0a725b1a7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5ca9a-296e-49cc-94be-0a725b1a7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3A637-962D-413F-9188-4C559F077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2D0FE-3C38-46F1-8D50-B1372E9EE8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0FF462-6D71-418E-AC33-8BB32947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5ca9a-296e-49cc-94be-0a725b1a7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D6DDF-B5CC-47D9-BBC7-62664F685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>Hospital in the home senior medical officer role description</dc:subject>
  <dc:creator>Healthcare Improvement Unit | Clinical Excellence Queensland | Queensland Health</dc:creator>
  <cp:keywords>hith, hospital in the home, smo role decription, smo hith</cp:keywords>
  <cp:lastModifiedBy>Rachael Wykes</cp:lastModifiedBy>
  <cp:revision>2</cp:revision>
  <cp:lastPrinted>2021-06-15T00:52:00Z</cp:lastPrinted>
  <dcterms:created xsi:type="dcterms:W3CDTF">2021-09-16T00:34:00Z</dcterms:created>
  <dcterms:modified xsi:type="dcterms:W3CDTF">2021-09-16T00:34:00Z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0x010100ADF304D38D4EC840B543C5D5A219C64E</vt:lpwstr>
  </property>
</Properties>
</file>